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7AE7" w:rsidRPr="00421FD8" w:rsidRDefault="00765062" w:rsidP="00DE7AE7">
      <w:pPr>
        <w:pStyle w:val="Heading2"/>
        <w:ind w:left="0"/>
        <w:rPr>
          <w:rFonts w:ascii="Calibri" w:hAnsi="Calibri"/>
          <w:szCs w:val="22"/>
        </w:rPr>
      </w:pPr>
      <w:bookmarkStart w:id="0" w:name="_Toc507069535"/>
      <w:bookmarkStart w:id="1" w:name="_GoBack"/>
      <w:bookmarkEnd w:id="1"/>
      <w:r>
        <w:rPr>
          <w:rFonts w:ascii="Calibri" w:hAnsi="Calibri"/>
          <w:szCs w:val="22"/>
        </w:rPr>
        <w:t>Annex C</w:t>
      </w:r>
      <w:r w:rsidR="008C2F56">
        <w:rPr>
          <w:rFonts w:ascii="Calibri" w:hAnsi="Calibri"/>
          <w:szCs w:val="22"/>
        </w:rPr>
        <w:tab/>
      </w:r>
      <w:bookmarkEnd w:id="0"/>
      <w:r w:rsidR="003D06E6">
        <w:rPr>
          <w:rFonts w:ascii="Calibri" w:hAnsi="Calibri"/>
          <w:szCs w:val="22"/>
        </w:rPr>
        <w:t xml:space="preserve">Estimate of </w:t>
      </w:r>
      <w:r w:rsidR="00DA3F1D">
        <w:rPr>
          <w:rFonts w:ascii="Calibri" w:hAnsi="Calibri"/>
          <w:szCs w:val="22"/>
        </w:rPr>
        <w:t>Socio-economic and Environmental Benefits</w:t>
      </w:r>
    </w:p>
    <w:p w:rsidR="003D06E6" w:rsidRDefault="003D06E6" w:rsidP="00BB5402">
      <w:pPr>
        <w:rPr>
          <w:b/>
          <w:szCs w:val="22"/>
          <w:u w:val="single"/>
        </w:rPr>
      </w:pPr>
    </w:p>
    <w:p w:rsidR="00BB5402" w:rsidRPr="00BB5402" w:rsidRDefault="003D06E6" w:rsidP="00BB5402">
      <w:pPr>
        <w:rPr>
          <w:b/>
          <w:szCs w:val="22"/>
          <w:u w:val="single"/>
        </w:rPr>
      </w:pPr>
      <w:r>
        <w:rPr>
          <w:b/>
          <w:szCs w:val="22"/>
          <w:u w:val="single"/>
        </w:rPr>
        <w:t>1</w:t>
      </w:r>
      <w:r w:rsidR="00BB5402">
        <w:rPr>
          <w:b/>
          <w:szCs w:val="22"/>
          <w:u w:val="single"/>
        </w:rPr>
        <w:t>. Greenhouse gas emissions under SITRAMSS scheme</w:t>
      </w:r>
    </w:p>
    <w:p w:rsidR="00C029CB" w:rsidRDefault="003D06E6" w:rsidP="00227EC4">
      <w:pPr>
        <w:rPr>
          <w:szCs w:val="22"/>
        </w:rPr>
      </w:pPr>
      <w:r>
        <w:rPr>
          <w:szCs w:val="22"/>
        </w:rPr>
        <w:t xml:space="preserve">Reference is made to the description of SITRAMSS in Annex B. </w:t>
      </w:r>
      <w:r w:rsidR="00CF1877">
        <w:rPr>
          <w:szCs w:val="22"/>
        </w:rPr>
        <w:t xml:space="preserve">A </w:t>
      </w:r>
      <w:r w:rsidR="00C029CB">
        <w:rPr>
          <w:szCs w:val="22"/>
        </w:rPr>
        <w:t xml:space="preserve">preliminary assessment of </w:t>
      </w:r>
      <w:r w:rsidR="00AE4B81">
        <w:rPr>
          <w:szCs w:val="22"/>
        </w:rPr>
        <w:t>the impact of SITRAMSS on GHG emissions and other atmospheric contaminants</w:t>
      </w:r>
      <w:r w:rsidR="00CF1877">
        <w:rPr>
          <w:szCs w:val="22"/>
        </w:rPr>
        <w:t xml:space="preserve"> </w:t>
      </w:r>
      <w:r w:rsidR="00AE4B81">
        <w:rPr>
          <w:szCs w:val="22"/>
        </w:rPr>
        <w:t xml:space="preserve">(OACs) </w:t>
      </w:r>
      <w:r w:rsidR="00C029CB">
        <w:rPr>
          <w:szCs w:val="22"/>
        </w:rPr>
        <w:t xml:space="preserve">was </w:t>
      </w:r>
      <w:r w:rsidR="00CF1877">
        <w:rPr>
          <w:szCs w:val="22"/>
        </w:rPr>
        <w:t xml:space="preserve">commissioned </w:t>
      </w:r>
      <w:r w:rsidR="00264CD9">
        <w:rPr>
          <w:szCs w:val="22"/>
        </w:rPr>
        <w:t xml:space="preserve">for VMT </w:t>
      </w:r>
      <w:r w:rsidR="00C029CB">
        <w:rPr>
          <w:szCs w:val="22"/>
        </w:rPr>
        <w:t xml:space="preserve">in </w:t>
      </w:r>
      <w:r w:rsidR="00CF1877">
        <w:rPr>
          <w:szCs w:val="22"/>
        </w:rPr>
        <w:t>2015</w:t>
      </w:r>
      <w:r w:rsidR="00CF1877">
        <w:rPr>
          <w:rStyle w:val="FootnoteReference"/>
          <w:szCs w:val="22"/>
        </w:rPr>
        <w:footnoteReference w:id="1"/>
      </w:r>
      <w:r w:rsidR="00C029CB">
        <w:rPr>
          <w:szCs w:val="22"/>
        </w:rPr>
        <w:t xml:space="preserve">. It </w:t>
      </w:r>
      <w:r w:rsidR="00264CD9">
        <w:rPr>
          <w:szCs w:val="22"/>
        </w:rPr>
        <w:t xml:space="preserve">defines this </w:t>
      </w:r>
      <w:r w:rsidR="00C029CB">
        <w:rPr>
          <w:szCs w:val="22"/>
        </w:rPr>
        <w:t xml:space="preserve">first Corridor </w:t>
      </w:r>
      <w:r w:rsidR="00264CD9">
        <w:rPr>
          <w:szCs w:val="22"/>
        </w:rPr>
        <w:t>system as the “SITRAMSS Phase I influence area”.  In yearly figures, it involves a total of 161 millon displacements (passengers) on a total of 583 millon for the entire AMSS.</w:t>
      </w:r>
      <w:r w:rsidR="00AE4B81">
        <w:rPr>
          <w:szCs w:val="22"/>
        </w:rPr>
        <w:t xml:space="preserve"> </w:t>
      </w:r>
      <w:r w:rsidR="007636A0">
        <w:rPr>
          <w:szCs w:val="22"/>
        </w:rPr>
        <w:t xml:space="preserve">The total number of buses and microbuses in the AMSS in 2012 was 2,257 and 2,033 respectively. Within the </w:t>
      </w:r>
      <w:r w:rsidR="00C029CB">
        <w:rPr>
          <w:szCs w:val="22"/>
        </w:rPr>
        <w:t xml:space="preserve">Phase I influence area </w:t>
      </w:r>
      <w:r w:rsidR="007636A0">
        <w:rPr>
          <w:szCs w:val="22"/>
        </w:rPr>
        <w:t>this was 789 buses and 622 microbuses, totalling 1,411 units.</w:t>
      </w:r>
    </w:p>
    <w:p w:rsidR="00C029CB" w:rsidRDefault="00C029CB" w:rsidP="00227EC4">
      <w:pPr>
        <w:rPr>
          <w:szCs w:val="22"/>
        </w:rPr>
      </w:pPr>
      <w:r>
        <w:rPr>
          <w:szCs w:val="22"/>
        </w:rPr>
        <w:t>The assessment departs from the data used by the Consorcio Acciona Ingenieria for their “SITRAMSS Structuring and Basic Engineering Study (2012)</w:t>
      </w:r>
      <w:r>
        <w:rPr>
          <w:rStyle w:val="FootnoteReference"/>
          <w:szCs w:val="22"/>
        </w:rPr>
        <w:footnoteReference w:id="2"/>
      </w:r>
      <w:r>
        <w:rPr>
          <w:szCs w:val="22"/>
        </w:rPr>
        <w:t>”. The same reference year 2012 is used to determine emission factors and other parameters such as vehicle numbers, typical vehicle usage, fuel consumption, fuel properties, and more. This allows drawing a detailed baseline for 2012 including a projection of changes in the (conventional) bus routes. With the issuance of an updated Operational Plan for the public transport by VMT in 2014, this Baseline 2012 is adjusted to the new vehicle numbers and route projections (Baseline 2014). Of this system, only T I has been implemented so far, which since May 2017 is no longer working as a full BRT.</w:t>
      </w:r>
    </w:p>
    <w:p w:rsidR="00223758" w:rsidRDefault="00223758" w:rsidP="00C029CB">
      <w:pPr>
        <w:rPr>
          <w:szCs w:val="22"/>
        </w:rPr>
      </w:pPr>
    </w:p>
    <w:p w:rsidR="00ED7B2B" w:rsidRPr="00BB5402" w:rsidRDefault="00ED7B2B" w:rsidP="00C029CB">
      <w:pPr>
        <w:rPr>
          <w:i/>
          <w:szCs w:val="22"/>
          <w:u w:val="single"/>
        </w:rPr>
      </w:pPr>
      <w:r w:rsidRPr="00BB5402">
        <w:rPr>
          <w:i/>
          <w:szCs w:val="22"/>
          <w:u w:val="single"/>
        </w:rPr>
        <w:t>Baseline</w:t>
      </w:r>
      <w:r w:rsidR="008137DA" w:rsidRPr="00BB5402">
        <w:rPr>
          <w:i/>
          <w:szCs w:val="22"/>
          <w:u w:val="single"/>
        </w:rPr>
        <w:t xml:space="preserve"> 2012 and 2014</w:t>
      </w:r>
    </w:p>
    <w:p w:rsidR="00C029CB" w:rsidRDefault="00702E66" w:rsidP="00C029CB">
      <w:pPr>
        <w:rPr>
          <w:szCs w:val="22"/>
        </w:rPr>
      </w:pPr>
      <w:r>
        <w:rPr>
          <w:szCs w:val="22"/>
        </w:rPr>
        <w:t>T</w:t>
      </w:r>
      <w:r w:rsidR="00C029CB">
        <w:rPr>
          <w:szCs w:val="22"/>
        </w:rPr>
        <w:t>he balance between the emissions of GHG and other atmospheric contaminants (OACs) should be compared between the SITRAMSS project and the reference situation in the area of incluence of SITRAMSS</w:t>
      </w:r>
      <w:r w:rsidR="00ED7B2B">
        <w:rPr>
          <w:szCs w:val="22"/>
        </w:rPr>
        <w:t xml:space="preserve"> (system boundary)</w:t>
      </w:r>
      <w:r w:rsidR="00C029CB">
        <w:rPr>
          <w:szCs w:val="22"/>
        </w:rPr>
        <w:t xml:space="preserve">. The </w:t>
      </w:r>
      <w:r>
        <w:rPr>
          <w:szCs w:val="22"/>
        </w:rPr>
        <w:t xml:space="preserve">assessment calculates the </w:t>
      </w:r>
      <w:r w:rsidR="00C029CB">
        <w:rPr>
          <w:szCs w:val="22"/>
        </w:rPr>
        <w:t>emissions of GHG and OACs in the AMSS and within the system boundaries for the years 2012 and 2014</w:t>
      </w:r>
      <w:r>
        <w:rPr>
          <w:szCs w:val="22"/>
        </w:rPr>
        <w:t xml:space="preserve"> </w:t>
      </w:r>
      <w:r w:rsidR="00C029CB">
        <w:rPr>
          <w:szCs w:val="22"/>
        </w:rPr>
        <w:t>according to the UNFCCC methodology (AM0031: Baseline Methodology for Bus Rapid Transit Projects, version 5.0). For OACs the same equations and procedures were applied as developed for the TransMilenio project in Bogota, Colombia in 2012.</w:t>
      </w:r>
    </w:p>
    <w:p w:rsidR="00F80A41" w:rsidRDefault="00F80A41" w:rsidP="00F80A41">
      <w:pPr>
        <w:rPr>
          <w:szCs w:val="22"/>
        </w:rPr>
      </w:pPr>
      <w:r>
        <w:rPr>
          <w:szCs w:val="22"/>
        </w:rPr>
        <w:t xml:space="preserve">In 2012 </w:t>
      </w:r>
      <w:r w:rsidR="00702E66">
        <w:rPr>
          <w:szCs w:val="22"/>
        </w:rPr>
        <w:t xml:space="preserve">VMT </w:t>
      </w:r>
      <w:r>
        <w:rPr>
          <w:szCs w:val="22"/>
        </w:rPr>
        <w:t xml:space="preserve">envisaged to restructure 51 bus routes (1,411 units) and integrate these into the SITRAMSS. This figure was revised to 1,142 in the SITRAMSS Operational plan 2014 (649 buses and 493 microbuses), a reduction by 269 units. The difference is explained by the start of the construction of the SITRAMSS infrastructure (in 2013) and the adopted changes in bus routes. </w:t>
      </w:r>
      <w:r w:rsidR="009D6CA7">
        <w:rPr>
          <w:szCs w:val="22"/>
        </w:rPr>
        <w:t>The Basel</w:t>
      </w:r>
      <w:r>
        <w:rPr>
          <w:szCs w:val="22"/>
        </w:rPr>
        <w:t xml:space="preserve">ine 2012 involves the case that these 51 routes and 1,411 would have operated normally and SITRAMSS would not be implemented. Similarly, the 2014 </w:t>
      </w:r>
      <w:r w:rsidR="009D6CA7">
        <w:rPr>
          <w:szCs w:val="22"/>
        </w:rPr>
        <w:t xml:space="preserve">Baseline </w:t>
      </w:r>
      <w:r>
        <w:rPr>
          <w:szCs w:val="22"/>
        </w:rPr>
        <w:t>considers the GHG emissions if the 45 routes and 1,142 units would operate normally.</w:t>
      </w:r>
      <w:r w:rsidR="00956072">
        <w:rPr>
          <w:szCs w:val="22"/>
        </w:rPr>
        <w:t xml:space="preserve"> The following table represents the two baseline situations.</w:t>
      </w:r>
    </w:p>
    <w:p w:rsidR="00956072" w:rsidRDefault="00956072" w:rsidP="00F80A41">
      <w:pPr>
        <w:rPr>
          <w:szCs w:val="22"/>
        </w:rPr>
      </w:pPr>
    </w:p>
    <w:tbl>
      <w:tblPr>
        <w:tblW w:w="864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4A0" w:firstRow="1" w:lastRow="0" w:firstColumn="1" w:lastColumn="0" w:noHBand="0" w:noVBand="1"/>
      </w:tblPr>
      <w:tblGrid>
        <w:gridCol w:w="2693"/>
        <w:gridCol w:w="851"/>
        <w:gridCol w:w="1276"/>
        <w:gridCol w:w="1275"/>
        <w:gridCol w:w="1276"/>
        <w:gridCol w:w="1276"/>
      </w:tblGrid>
      <w:tr w:rsidR="00702E66" w:rsidRPr="0032648F" w:rsidTr="0032648F">
        <w:trPr>
          <w:trHeight w:val="240"/>
        </w:trPr>
        <w:tc>
          <w:tcPr>
            <w:tcW w:w="8647" w:type="dxa"/>
            <w:gridSpan w:val="6"/>
            <w:shd w:val="clear" w:color="auto" w:fill="D9D9D9" w:themeFill="background1" w:themeFillShade="D9"/>
          </w:tcPr>
          <w:p w:rsidR="00702E66" w:rsidRPr="0032648F" w:rsidRDefault="00702E66" w:rsidP="00702E66">
            <w:pPr>
              <w:spacing w:after="0"/>
              <w:jc w:val="left"/>
              <w:rPr>
                <w:rFonts w:asciiTheme="minorHAnsi" w:eastAsia="Times New Roman" w:hAnsiTheme="minorHAnsi" w:cstheme="minorHAnsi"/>
                <w:smallCaps/>
                <w:color w:val="000000"/>
                <w:szCs w:val="20"/>
                <w:lang w:val="en-GB" w:eastAsia="en-GB"/>
              </w:rPr>
            </w:pPr>
            <w:r w:rsidRPr="0032648F">
              <w:rPr>
                <w:rFonts w:asciiTheme="minorHAnsi" w:eastAsia="Times New Roman" w:hAnsiTheme="minorHAnsi" w:cstheme="minorHAnsi"/>
                <w:smallCaps/>
                <w:szCs w:val="20"/>
                <w:lang w:val="en-GB" w:eastAsia="en-GB"/>
              </w:rPr>
              <w:t>SITRAMSS – Transport Figures under Baseline Situation in 2012 and 2014</w:t>
            </w:r>
          </w:p>
        </w:tc>
      </w:tr>
      <w:tr w:rsidR="00702E66" w:rsidRPr="0032648F" w:rsidTr="0032648F">
        <w:trPr>
          <w:trHeight w:val="240"/>
        </w:trPr>
        <w:tc>
          <w:tcPr>
            <w:tcW w:w="2693" w:type="dxa"/>
            <w:vMerge w:val="restart"/>
            <w:shd w:val="clear" w:color="auto" w:fill="D9D9D9" w:themeFill="background1" w:themeFillShade="D9"/>
            <w:vAlign w:val="center"/>
          </w:tcPr>
          <w:p w:rsidR="00702E66" w:rsidRPr="0032648F" w:rsidRDefault="00702E66" w:rsidP="00702E66">
            <w:pPr>
              <w:spacing w:after="0"/>
              <w:jc w:val="center"/>
              <w:rPr>
                <w:rFonts w:asciiTheme="minorHAnsi" w:eastAsia="Times New Roman" w:hAnsiTheme="minorHAnsi" w:cstheme="minorHAnsi"/>
                <w:szCs w:val="20"/>
                <w:lang w:val="en-GB" w:eastAsia="en-GB"/>
              </w:rPr>
            </w:pPr>
            <w:r w:rsidRPr="0032648F">
              <w:rPr>
                <w:rFonts w:asciiTheme="minorHAnsi" w:eastAsia="Times New Roman" w:hAnsiTheme="minorHAnsi" w:cstheme="minorHAnsi"/>
                <w:szCs w:val="20"/>
                <w:lang w:val="en-GB" w:eastAsia="en-GB"/>
              </w:rPr>
              <w:t>Description</w:t>
            </w:r>
          </w:p>
        </w:tc>
        <w:tc>
          <w:tcPr>
            <w:tcW w:w="851" w:type="dxa"/>
            <w:vMerge w:val="restart"/>
            <w:shd w:val="clear" w:color="auto" w:fill="D9D9D9" w:themeFill="background1" w:themeFillShade="D9"/>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Unit</w:t>
            </w:r>
          </w:p>
        </w:tc>
        <w:tc>
          <w:tcPr>
            <w:tcW w:w="2551" w:type="dxa"/>
            <w:gridSpan w:val="2"/>
            <w:shd w:val="clear" w:color="auto" w:fill="D9D9D9" w:themeFill="background1" w:themeFillShade="D9"/>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Total AMSS</w:t>
            </w:r>
          </w:p>
        </w:tc>
        <w:tc>
          <w:tcPr>
            <w:tcW w:w="2552" w:type="dxa"/>
            <w:gridSpan w:val="2"/>
            <w:shd w:val="clear" w:color="auto" w:fill="D9D9D9" w:themeFill="background1" w:themeFillShade="D9"/>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SITRAMSS Phase I area</w:t>
            </w:r>
          </w:p>
        </w:tc>
      </w:tr>
      <w:tr w:rsidR="0032648F" w:rsidRPr="0032648F" w:rsidTr="0032648F">
        <w:trPr>
          <w:trHeight w:val="240"/>
        </w:trPr>
        <w:tc>
          <w:tcPr>
            <w:tcW w:w="2693" w:type="dxa"/>
            <w:vMerge/>
            <w:shd w:val="clear" w:color="auto" w:fill="D9D9D9" w:themeFill="background1" w:themeFillShade="D9"/>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p>
        </w:tc>
        <w:tc>
          <w:tcPr>
            <w:tcW w:w="851" w:type="dxa"/>
            <w:vMerge/>
            <w:shd w:val="clear" w:color="auto" w:fill="D9D9D9" w:themeFill="background1" w:themeFillShade="D9"/>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p>
        </w:tc>
        <w:tc>
          <w:tcPr>
            <w:tcW w:w="1276" w:type="dxa"/>
            <w:shd w:val="clear" w:color="auto" w:fill="D9D9D9" w:themeFill="background1" w:themeFillShade="D9"/>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2012</w:t>
            </w:r>
          </w:p>
        </w:tc>
        <w:tc>
          <w:tcPr>
            <w:tcW w:w="1275" w:type="dxa"/>
            <w:shd w:val="clear" w:color="auto" w:fill="D9D9D9" w:themeFill="background1" w:themeFillShade="D9"/>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2014</w:t>
            </w:r>
          </w:p>
        </w:tc>
        <w:tc>
          <w:tcPr>
            <w:tcW w:w="1276" w:type="dxa"/>
            <w:shd w:val="clear" w:color="auto" w:fill="D9D9D9" w:themeFill="background1" w:themeFillShade="D9"/>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2012</w:t>
            </w:r>
          </w:p>
        </w:tc>
        <w:tc>
          <w:tcPr>
            <w:tcW w:w="1276" w:type="dxa"/>
            <w:shd w:val="clear" w:color="auto" w:fill="D9D9D9" w:themeFill="background1" w:themeFillShade="D9"/>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2014</w:t>
            </w:r>
          </w:p>
        </w:tc>
      </w:tr>
      <w:tr w:rsidR="00702E66" w:rsidRPr="0032648F" w:rsidTr="0032648F">
        <w:trPr>
          <w:trHeight w:val="240"/>
        </w:trPr>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Number of buses</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w:t>
            </w:r>
            <w:r w:rsidR="00A30D52" w:rsidRPr="0032648F">
              <w:rPr>
                <w:rFonts w:asciiTheme="minorHAnsi" w:eastAsia="Times New Roman" w:hAnsiTheme="minorHAnsi" w:cstheme="minorHAnsi"/>
                <w:color w:val="000000"/>
                <w:szCs w:val="20"/>
                <w:lang w:val="en-GB" w:eastAsia="en-GB"/>
              </w:rPr>
              <w:t>,</w:t>
            </w:r>
            <w:r w:rsidRPr="0032648F">
              <w:rPr>
                <w:rFonts w:asciiTheme="minorHAnsi" w:eastAsia="Times New Roman" w:hAnsiTheme="minorHAnsi" w:cstheme="minorHAnsi"/>
                <w:color w:val="000000"/>
                <w:szCs w:val="20"/>
                <w:lang w:val="en-GB" w:eastAsia="en-GB"/>
              </w:rPr>
              <w:t>257</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w:t>
            </w:r>
            <w:r w:rsidR="00A30D52" w:rsidRPr="0032648F">
              <w:rPr>
                <w:rFonts w:asciiTheme="minorHAnsi" w:eastAsia="Times New Roman" w:hAnsiTheme="minorHAnsi" w:cstheme="minorHAnsi"/>
                <w:color w:val="000000"/>
                <w:szCs w:val="20"/>
                <w:lang w:val="en-GB" w:eastAsia="en-GB"/>
              </w:rPr>
              <w:t>,</w:t>
            </w:r>
            <w:r w:rsidRPr="0032648F">
              <w:rPr>
                <w:rFonts w:asciiTheme="minorHAnsi" w:eastAsia="Times New Roman" w:hAnsiTheme="minorHAnsi" w:cstheme="minorHAnsi"/>
                <w:color w:val="000000"/>
                <w:szCs w:val="20"/>
                <w:lang w:val="en-GB" w:eastAsia="en-GB"/>
              </w:rPr>
              <w:t>296</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789</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649</w:t>
            </w:r>
          </w:p>
        </w:tc>
      </w:tr>
      <w:tr w:rsidR="00702E66" w:rsidRPr="0032648F" w:rsidTr="0032648F">
        <w:tc>
          <w:tcPr>
            <w:tcW w:w="2693" w:type="dxa"/>
            <w:tcBorders>
              <w:bottom w:val="single" w:sz="4" w:space="0" w:color="auto"/>
            </w:tcBorders>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Number of microbuses</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w:t>
            </w:r>
            <w:r w:rsidR="00A30D52" w:rsidRPr="0032648F">
              <w:rPr>
                <w:rFonts w:asciiTheme="minorHAnsi" w:eastAsia="Times New Roman" w:hAnsiTheme="minorHAnsi" w:cstheme="minorHAnsi"/>
                <w:color w:val="000000"/>
                <w:szCs w:val="20"/>
                <w:lang w:val="en-GB" w:eastAsia="en-GB"/>
              </w:rPr>
              <w:t>,</w:t>
            </w:r>
            <w:r w:rsidRPr="0032648F">
              <w:rPr>
                <w:rFonts w:asciiTheme="minorHAnsi" w:eastAsia="Times New Roman" w:hAnsiTheme="minorHAnsi" w:cstheme="minorHAnsi"/>
                <w:color w:val="000000"/>
                <w:szCs w:val="20"/>
                <w:lang w:val="en-GB" w:eastAsia="en-GB"/>
              </w:rPr>
              <w:t>033</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w:t>
            </w:r>
            <w:r w:rsidR="00A30D52" w:rsidRPr="0032648F">
              <w:rPr>
                <w:rFonts w:asciiTheme="minorHAnsi" w:eastAsia="Times New Roman" w:hAnsiTheme="minorHAnsi" w:cstheme="minorHAnsi"/>
                <w:color w:val="000000"/>
                <w:szCs w:val="20"/>
                <w:lang w:val="en-GB" w:eastAsia="en-GB"/>
              </w:rPr>
              <w:t>,</w:t>
            </w:r>
            <w:r w:rsidRPr="0032648F">
              <w:rPr>
                <w:rFonts w:asciiTheme="minorHAnsi" w:eastAsia="Times New Roman" w:hAnsiTheme="minorHAnsi" w:cstheme="minorHAnsi"/>
                <w:color w:val="000000"/>
                <w:szCs w:val="20"/>
                <w:lang w:val="en-GB" w:eastAsia="en-GB"/>
              </w:rPr>
              <w:t>862</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622</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493</w:t>
            </w:r>
          </w:p>
        </w:tc>
      </w:tr>
      <w:tr w:rsidR="00702E66" w:rsidRPr="0032648F" w:rsidTr="0032648F">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Total number of units</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4,290</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4,158</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1,411</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1,142</w:t>
            </w:r>
          </w:p>
        </w:tc>
      </w:tr>
      <w:tr w:rsidR="00702E66" w:rsidRPr="0032648F" w:rsidTr="0032648F">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 xml:space="preserve">Total annual distance by buses </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km/yr</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87,318,816</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88,827,648</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33,589,624</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26,566,815</w:t>
            </w:r>
          </w:p>
        </w:tc>
      </w:tr>
      <w:tr w:rsidR="00702E66" w:rsidRPr="0032648F" w:rsidTr="0032648F">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 xml:space="preserve">Total annual distance by microbuses </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km/yr</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111,636,096</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102,246,144</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4,410,379</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33,851,352</w:t>
            </w:r>
          </w:p>
        </w:tc>
      </w:tr>
      <w:tr w:rsidR="00702E66" w:rsidRPr="0032648F" w:rsidTr="0032648F">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Number of passengers transported by buses</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pp/yr</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374,831,275</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381,308,200</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131,033,175</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107,782,675</w:t>
            </w:r>
          </w:p>
        </w:tc>
      </w:tr>
      <w:tr w:rsidR="00702E66" w:rsidRPr="0032648F" w:rsidTr="0032648F">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Number of passengers transported by microbuses</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pp/yr</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220,387,365</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201,850,110</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67,427,910</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53,443,665</w:t>
            </w:r>
          </w:p>
        </w:tc>
      </w:tr>
      <w:tr w:rsidR="00702E66" w:rsidRPr="0032648F" w:rsidTr="0032648F">
        <w:tc>
          <w:tcPr>
            <w:tcW w:w="2693" w:type="dxa"/>
            <w:shd w:val="clear" w:color="auto" w:fill="auto"/>
            <w:vAlign w:val="center"/>
            <w:hideMark/>
          </w:tcPr>
          <w:p w:rsidR="00702E66" w:rsidRPr="0032648F" w:rsidRDefault="00702E66" w:rsidP="00702E66">
            <w:pPr>
              <w:spacing w:after="0"/>
              <w:jc w:val="left"/>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Total number of passengers transported</w:t>
            </w:r>
          </w:p>
        </w:tc>
        <w:tc>
          <w:tcPr>
            <w:tcW w:w="851" w:type="dxa"/>
            <w:vAlign w:val="center"/>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pp/yr</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595,218,640</w:t>
            </w:r>
          </w:p>
        </w:tc>
        <w:tc>
          <w:tcPr>
            <w:tcW w:w="1275"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583,158,310</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198,461,085</w:t>
            </w:r>
          </w:p>
        </w:tc>
        <w:tc>
          <w:tcPr>
            <w:tcW w:w="1276" w:type="dxa"/>
            <w:shd w:val="clear" w:color="auto" w:fill="auto"/>
            <w:noWrap/>
            <w:vAlign w:val="center"/>
            <w:hideMark/>
          </w:tcPr>
          <w:p w:rsidR="00702E66" w:rsidRPr="0032648F" w:rsidRDefault="00702E66" w:rsidP="00702E66">
            <w:pPr>
              <w:spacing w:after="0"/>
              <w:jc w:val="center"/>
              <w:rPr>
                <w:rFonts w:asciiTheme="minorHAnsi" w:eastAsia="Times New Roman" w:hAnsiTheme="minorHAnsi" w:cstheme="minorHAnsi"/>
                <w:color w:val="000000"/>
                <w:szCs w:val="20"/>
                <w:lang w:val="en-GB" w:eastAsia="en-GB"/>
              </w:rPr>
            </w:pPr>
            <w:r w:rsidRPr="0032648F">
              <w:rPr>
                <w:rFonts w:asciiTheme="minorHAnsi" w:eastAsia="Times New Roman" w:hAnsiTheme="minorHAnsi" w:cstheme="minorHAnsi"/>
                <w:color w:val="000000"/>
                <w:szCs w:val="20"/>
                <w:lang w:val="en-GB" w:eastAsia="en-GB"/>
              </w:rPr>
              <w:t>161,226,340</w:t>
            </w:r>
          </w:p>
        </w:tc>
      </w:tr>
      <w:tr w:rsidR="00A710B1" w:rsidRPr="0032648F" w:rsidTr="0032648F">
        <w:tc>
          <w:tcPr>
            <w:tcW w:w="2693" w:type="dxa"/>
            <w:shd w:val="clear" w:color="auto" w:fill="auto"/>
            <w:vAlign w:val="center"/>
          </w:tcPr>
          <w:p w:rsidR="00A710B1" w:rsidRPr="0032648F" w:rsidRDefault="00A710B1" w:rsidP="00702E66">
            <w:pPr>
              <w:spacing w:after="0"/>
              <w:jc w:val="left"/>
              <w:rPr>
                <w:rFonts w:asciiTheme="minorHAnsi" w:eastAsia="Times New Roman" w:hAnsiTheme="minorHAnsi" w:cstheme="minorHAnsi"/>
                <w:color w:val="000000"/>
                <w:szCs w:val="20"/>
                <w:lang w:val="en-GB" w:eastAsia="en-GB"/>
              </w:rPr>
            </w:pPr>
            <w:r>
              <w:rPr>
                <w:rFonts w:asciiTheme="minorHAnsi" w:eastAsia="Times New Roman" w:hAnsiTheme="minorHAnsi" w:cstheme="minorHAnsi"/>
                <w:color w:val="000000"/>
                <w:szCs w:val="20"/>
                <w:lang w:val="en-GB" w:eastAsia="en-GB"/>
              </w:rPr>
              <w:lastRenderedPageBreak/>
              <w:t>Diese</w:t>
            </w:r>
            <w:r w:rsidR="00382A29">
              <w:rPr>
                <w:rFonts w:asciiTheme="minorHAnsi" w:eastAsia="Times New Roman" w:hAnsiTheme="minorHAnsi" w:cstheme="minorHAnsi"/>
                <w:color w:val="000000"/>
                <w:szCs w:val="20"/>
                <w:lang w:val="en-GB" w:eastAsia="en-GB"/>
              </w:rPr>
              <w:t>l</w:t>
            </w:r>
            <w:r>
              <w:rPr>
                <w:rFonts w:asciiTheme="minorHAnsi" w:eastAsia="Times New Roman" w:hAnsiTheme="minorHAnsi" w:cstheme="minorHAnsi"/>
                <w:color w:val="000000"/>
                <w:szCs w:val="20"/>
                <w:lang w:val="en-GB" w:eastAsia="en-GB"/>
              </w:rPr>
              <w:t xml:space="preserve"> fuel consumption</w:t>
            </w:r>
          </w:p>
        </w:tc>
        <w:tc>
          <w:tcPr>
            <w:tcW w:w="851" w:type="dxa"/>
            <w:vAlign w:val="center"/>
          </w:tcPr>
          <w:p w:rsidR="00A710B1" w:rsidRPr="0032648F" w:rsidRDefault="00A710B1" w:rsidP="00702E66">
            <w:pPr>
              <w:spacing w:after="0"/>
              <w:jc w:val="center"/>
              <w:rPr>
                <w:rFonts w:asciiTheme="minorHAnsi" w:eastAsia="Times New Roman" w:hAnsiTheme="minorHAnsi" w:cstheme="minorHAnsi"/>
                <w:color w:val="000000"/>
                <w:szCs w:val="20"/>
                <w:lang w:val="en-GB" w:eastAsia="en-GB"/>
              </w:rPr>
            </w:pPr>
            <w:r>
              <w:rPr>
                <w:rFonts w:asciiTheme="minorHAnsi" w:eastAsia="Times New Roman" w:hAnsiTheme="minorHAnsi" w:cstheme="minorHAnsi"/>
                <w:color w:val="000000"/>
                <w:szCs w:val="20"/>
                <w:lang w:val="en-GB" w:eastAsia="en-GB"/>
              </w:rPr>
              <w:t>mln l/yr</w:t>
            </w:r>
          </w:p>
        </w:tc>
        <w:tc>
          <w:tcPr>
            <w:tcW w:w="1276" w:type="dxa"/>
            <w:shd w:val="clear" w:color="auto" w:fill="auto"/>
            <w:noWrap/>
            <w:vAlign w:val="center"/>
          </w:tcPr>
          <w:p w:rsidR="00A710B1" w:rsidRPr="0032648F" w:rsidRDefault="00A710B1" w:rsidP="00A710B1">
            <w:pPr>
              <w:spacing w:after="0"/>
              <w:jc w:val="center"/>
              <w:rPr>
                <w:rFonts w:asciiTheme="minorHAnsi" w:eastAsia="Times New Roman" w:hAnsiTheme="minorHAnsi" w:cstheme="minorHAnsi"/>
                <w:color w:val="000000"/>
                <w:szCs w:val="20"/>
                <w:lang w:val="en-GB" w:eastAsia="en-GB"/>
              </w:rPr>
            </w:pPr>
            <w:r>
              <w:rPr>
                <w:rFonts w:asciiTheme="minorHAnsi" w:eastAsia="Times New Roman" w:hAnsiTheme="minorHAnsi" w:cstheme="minorHAnsi"/>
                <w:color w:val="000000"/>
                <w:szCs w:val="20"/>
                <w:lang w:val="en-GB" w:eastAsia="en-GB"/>
              </w:rPr>
              <w:t>48.5</w:t>
            </w:r>
          </w:p>
        </w:tc>
        <w:tc>
          <w:tcPr>
            <w:tcW w:w="1275" w:type="dxa"/>
            <w:shd w:val="clear" w:color="auto" w:fill="auto"/>
            <w:noWrap/>
            <w:vAlign w:val="center"/>
          </w:tcPr>
          <w:p w:rsidR="00A710B1" w:rsidRPr="0032648F" w:rsidRDefault="00A710B1" w:rsidP="00702E66">
            <w:pPr>
              <w:spacing w:after="0"/>
              <w:jc w:val="center"/>
              <w:rPr>
                <w:rFonts w:asciiTheme="minorHAnsi" w:eastAsia="Times New Roman" w:hAnsiTheme="minorHAnsi" w:cstheme="minorHAnsi"/>
                <w:color w:val="000000"/>
                <w:szCs w:val="20"/>
                <w:lang w:val="en-GB" w:eastAsia="en-GB"/>
              </w:rPr>
            </w:pPr>
            <w:r>
              <w:rPr>
                <w:rFonts w:asciiTheme="minorHAnsi" w:eastAsia="Times New Roman" w:hAnsiTheme="minorHAnsi" w:cstheme="minorHAnsi"/>
                <w:color w:val="000000"/>
                <w:szCs w:val="20"/>
                <w:lang w:val="en-GB" w:eastAsia="en-GB"/>
              </w:rPr>
              <w:t>n/d</w:t>
            </w:r>
          </w:p>
        </w:tc>
        <w:tc>
          <w:tcPr>
            <w:tcW w:w="1276" w:type="dxa"/>
            <w:shd w:val="clear" w:color="auto" w:fill="auto"/>
            <w:noWrap/>
            <w:vAlign w:val="center"/>
          </w:tcPr>
          <w:p w:rsidR="00A710B1" w:rsidRPr="0032648F" w:rsidRDefault="00A710B1" w:rsidP="00702E66">
            <w:pPr>
              <w:spacing w:after="0"/>
              <w:jc w:val="center"/>
              <w:rPr>
                <w:rFonts w:asciiTheme="minorHAnsi" w:eastAsia="Times New Roman" w:hAnsiTheme="minorHAnsi" w:cstheme="minorHAnsi"/>
                <w:color w:val="000000"/>
                <w:szCs w:val="20"/>
                <w:lang w:val="en-GB" w:eastAsia="en-GB"/>
              </w:rPr>
            </w:pPr>
            <w:r>
              <w:rPr>
                <w:rFonts w:asciiTheme="minorHAnsi" w:eastAsia="Times New Roman" w:hAnsiTheme="minorHAnsi" w:cstheme="minorHAnsi"/>
                <w:color w:val="000000"/>
                <w:szCs w:val="20"/>
                <w:lang w:val="en-GB" w:eastAsia="en-GB"/>
              </w:rPr>
              <w:t>19.0</w:t>
            </w:r>
          </w:p>
        </w:tc>
        <w:tc>
          <w:tcPr>
            <w:tcW w:w="1276" w:type="dxa"/>
            <w:shd w:val="clear" w:color="auto" w:fill="auto"/>
            <w:noWrap/>
            <w:vAlign w:val="center"/>
          </w:tcPr>
          <w:p w:rsidR="00A710B1" w:rsidRPr="0032648F" w:rsidRDefault="00223758" w:rsidP="00702E66">
            <w:pPr>
              <w:spacing w:after="0"/>
              <w:jc w:val="center"/>
              <w:rPr>
                <w:rFonts w:asciiTheme="minorHAnsi" w:eastAsia="Times New Roman" w:hAnsiTheme="minorHAnsi" w:cstheme="minorHAnsi"/>
                <w:color w:val="000000"/>
                <w:szCs w:val="20"/>
                <w:lang w:val="en-GB" w:eastAsia="en-GB"/>
              </w:rPr>
            </w:pPr>
            <w:r>
              <w:rPr>
                <w:rFonts w:asciiTheme="minorHAnsi" w:eastAsia="Times New Roman" w:hAnsiTheme="minorHAnsi" w:cstheme="minorHAnsi"/>
                <w:color w:val="000000"/>
                <w:szCs w:val="20"/>
                <w:lang w:val="en-GB" w:eastAsia="en-GB"/>
              </w:rPr>
              <w:t>16.9</w:t>
            </w:r>
            <w:r>
              <w:rPr>
                <w:rStyle w:val="FootnoteReference"/>
                <w:rFonts w:asciiTheme="minorHAnsi" w:eastAsia="Times New Roman" w:hAnsiTheme="minorHAnsi" w:cstheme="minorHAnsi"/>
                <w:color w:val="000000"/>
                <w:szCs w:val="20"/>
                <w:lang w:val="en-GB" w:eastAsia="en-GB"/>
              </w:rPr>
              <w:footnoteReference w:id="3"/>
            </w:r>
          </w:p>
        </w:tc>
      </w:tr>
    </w:tbl>
    <w:p w:rsidR="00956072" w:rsidRDefault="00956072" w:rsidP="00F80A41">
      <w:pPr>
        <w:rPr>
          <w:szCs w:val="22"/>
        </w:rPr>
      </w:pPr>
    </w:p>
    <w:p w:rsidR="00A710B1" w:rsidRDefault="00A710B1" w:rsidP="00A710B1">
      <w:pPr>
        <w:rPr>
          <w:szCs w:val="22"/>
        </w:rPr>
      </w:pPr>
      <w:r>
        <w:rPr>
          <w:szCs w:val="22"/>
        </w:rPr>
        <w:t>Based on typical fuel consumption rates for buses and microbuses and their recorded mileage in the AMSS, total diesel fuel consumption by public transport in the AMSS (2012) is estimated at 48.5 mln l (22 mln l buses and 26.5 mln microbuses). This figure is somewhat higher than the registered amount of fuel commercialized in the AMSS (46.9 mln l). Similarly, the diesel consumption of the vehicles in the influence area of SITRAMSS Phase 1 are calculated at 19.0 mln l (8.5, resp 10.5 mln l for buses and and microbuses). Buses account for 45% of total and microbuses 55% and is fairly the same in the influence area, and the overall AMSS.</w:t>
      </w:r>
      <w:r>
        <w:rPr>
          <w:rStyle w:val="FootnoteReference"/>
          <w:szCs w:val="22"/>
        </w:rPr>
        <w:footnoteReference w:id="4"/>
      </w:r>
    </w:p>
    <w:p w:rsidR="003241EB" w:rsidRDefault="0032648F" w:rsidP="00F80A41">
      <w:pPr>
        <w:rPr>
          <w:szCs w:val="22"/>
        </w:rPr>
      </w:pPr>
      <w:r>
        <w:rPr>
          <w:szCs w:val="22"/>
        </w:rPr>
        <w:t>The emissions of GHGs and OACs under the Baseline 2012 and 2014 are presented in the next table.</w:t>
      </w:r>
    </w:p>
    <w:p w:rsidR="003241EB" w:rsidRDefault="003241EB" w:rsidP="00F80A41">
      <w:pPr>
        <w:rPr>
          <w:szCs w:val="22"/>
        </w:rPr>
      </w:pPr>
    </w:p>
    <w:tbl>
      <w:tblPr>
        <w:tblW w:w="6804"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1559"/>
        <w:gridCol w:w="851"/>
        <w:gridCol w:w="1134"/>
        <w:gridCol w:w="992"/>
        <w:gridCol w:w="1134"/>
        <w:gridCol w:w="1134"/>
      </w:tblGrid>
      <w:tr w:rsidR="003241EB" w:rsidRPr="0032648F" w:rsidTr="0032648F">
        <w:tc>
          <w:tcPr>
            <w:tcW w:w="6804" w:type="dxa"/>
            <w:gridSpan w:val="6"/>
            <w:shd w:val="clear" w:color="auto" w:fill="D9D9D9" w:themeFill="background1" w:themeFillShade="D9"/>
            <w:vAlign w:val="center"/>
          </w:tcPr>
          <w:p w:rsidR="003241EB" w:rsidRPr="0032648F" w:rsidRDefault="003241EB" w:rsidP="003241EB">
            <w:pPr>
              <w:spacing w:after="0"/>
              <w:jc w:val="left"/>
              <w:rPr>
                <w:rFonts w:eastAsia="Times New Roman" w:cs="Calibri"/>
                <w:smallCaps/>
                <w:color w:val="000000"/>
                <w:szCs w:val="20"/>
                <w:lang w:val="en-GB" w:eastAsia="en-GB"/>
              </w:rPr>
            </w:pPr>
            <w:r w:rsidRPr="0032648F">
              <w:rPr>
                <w:rFonts w:eastAsia="Times New Roman" w:cs="Calibri"/>
                <w:smallCaps/>
                <w:color w:val="000000"/>
                <w:szCs w:val="20"/>
                <w:lang w:val="en-GB" w:eastAsia="en-GB"/>
              </w:rPr>
              <w:t>SITRAMSS – Emissions under Baseline Situation in 2012 and 2014</w:t>
            </w:r>
          </w:p>
        </w:tc>
      </w:tr>
      <w:tr w:rsidR="003241EB" w:rsidRPr="0032648F" w:rsidTr="0032648F">
        <w:tc>
          <w:tcPr>
            <w:tcW w:w="1559" w:type="dxa"/>
            <w:vMerge w:val="restart"/>
            <w:shd w:val="clear" w:color="auto" w:fill="D9D9D9" w:themeFill="background1" w:themeFillShade="D9"/>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Description</w:t>
            </w:r>
          </w:p>
        </w:tc>
        <w:tc>
          <w:tcPr>
            <w:tcW w:w="851" w:type="dxa"/>
            <w:vMerge w:val="restart"/>
            <w:shd w:val="clear" w:color="auto" w:fill="D9D9D9" w:themeFill="background1" w:themeFillShade="D9"/>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Unit</w:t>
            </w:r>
          </w:p>
        </w:tc>
        <w:tc>
          <w:tcPr>
            <w:tcW w:w="2126" w:type="dxa"/>
            <w:gridSpan w:val="2"/>
            <w:shd w:val="clear" w:color="auto" w:fill="D9D9D9" w:themeFill="background1" w:themeFillShade="D9"/>
            <w:noWrap/>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Total AMSS</w:t>
            </w:r>
          </w:p>
        </w:tc>
        <w:tc>
          <w:tcPr>
            <w:tcW w:w="2268" w:type="dxa"/>
            <w:gridSpan w:val="2"/>
            <w:shd w:val="clear" w:color="auto" w:fill="D9D9D9" w:themeFill="background1" w:themeFillShade="D9"/>
            <w:noWrap/>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SITRAMSS Phase I area</w:t>
            </w:r>
          </w:p>
        </w:tc>
      </w:tr>
      <w:tr w:rsidR="003241EB" w:rsidRPr="0032648F" w:rsidTr="0032648F">
        <w:tc>
          <w:tcPr>
            <w:tcW w:w="1559" w:type="dxa"/>
            <w:vMerge/>
            <w:shd w:val="clear" w:color="auto" w:fill="D9D9D9" w:themeFill="background1" w:themeFillShade="D9"/>
            <w:vAlign w:val="center"/>
          </w:tcPr>
          <w:p w:rsidR="003241EB" w:rsidRPr="0032648F" w:rsidRDefault="003241EB" w:rsidP="003241EB">
            <w:pPr>
              <w:spacing w:after="0"/>
              <w:jc w:val="center"/>
              <w:rPr>
                <w:rFonts w:eastAsia="Times New Roman" w:cs="Calibri"/>
                <w:color w:val="000000"/>
                <w:szCs w:val="20"/>
                <w:lang w:val="en-GB" w:eastAsia="en-GB"/>
              </w:rPr>
            </w:pPr>
          </w:p>
        </w:tc>
        <w:tc>
          <w:tcPr>
            <w:tcW w:w="851" w:type="dxa"/>
            <w:vMerge/>
            <w:shd w:val="clear" w:color="auto" w:fill="D9D9D9" w:themeFill="background1" w:themeFillShade="D9"/>
            <w:vAlign w:val="center"/>
          </w:tcPr>
          <w:p w:rsidR="003241EB" w:rsidRPr="0032648F" w:rsidRDefault="003241EB" w:rsidP="003241EB">
            <w:pPr>
              <w:spacing w:after="0"/>
              <w:jc w:val="center"/>
              <w:rPr>
                <w:rFonts w:eastAsia="Times New Roman" w:cs="Calibri"/>
                <w:color w:val="000000"/>
                <w:szCs w:val="20"/>
                <w:lang w:val="en-GB" w:eastAsia="en-GB"/>
              </w:rPr>
            </w:pPr>
          </w:p>
        </w:tc>
        <w:tc>
          <w:tcPr>
            <w:tcW w:w="1134" w:type="dxa"/>
            <w:shd w:val="clear" w:color="auto" w:fill="D9D9D9" w:themeFill="background1" w:themeFillShade="D9"/>
            <w:noWrap/>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2012</w:t>
            </w:r>
          </w:p>
        </w:tc>
        <w:tc>
          <w:tcPr>
            <w:tcW w:w="992" w:type="dxa"/>
            <w:shd w:val="clear" w:color="auto" w:fill="D9D9D9" w:themeFill="background1" w:themeFillShade="D9"/>
            <w:noWrap/>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2014</w:t>
            </w:r>
          </w:p>
        </w:tc>
        <w:tc>
          <w:tcPr>
            <w:tcW w:w="1134" w:type="dxa"/>
            <w:shd w:val="clear" w:color="auto" w:fill="D9D9D9" w:themeFill="background1" w:themeFillShade="D9"/>
            <w:noWrap/>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2012</w:t>
            </w:r>
          </w:p>
        </w:tc>
        <w:tc>
          <w:tcPr>
            <w:tcW w:w="1134" w:type="dxa"/>
            <w:shd w:val="clear" w:color="auto" w:fill="D9D9D9" w:themeFill="background1" w:themeFillShade="D9"/>
            <w:noWrap/>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2014</w:t>
            </w:r>
          </w:p>
        </w:tc>
      </w:tr>
      <w:tr w:rsidR="003241EB" w:rsidRPr="0032648F" w:rsidTr="0032648F">
        <w:tc>
          <w:tcPr>
            <w:tcW w:w="6804" w:type="dxa"/>
            <w:gridSpan w:val="6"/>
            <w:shd w:val="clear" w:color="auto" w:fill="F2F2F2" w:themeFill="background1" w:themeFillShade="F2"/>
            <w:vAlign w:val="center"/>
          </w:tcPr>
          <w:p w:rsidR="003241EB" w:rsidRPr="0032648F" w:rsidRDefault="003241EB" w:rsidP="003241EB">
            <w:pPr>
              <w:spacing w:after="0"/>
              <w:jc w:val="center"/>
              <w:rPr>
                <w:rFonts w:eastAsia="Times New Roman" w:cs="Calibri"/>
                <w:smallCaps/>
                <w:color w:val="000000"/>
                <w:szCs w:val="20"/>
                <w:lang w:val="en-GB" w:eastAsia="en-GB"/>
              </w:rPr>
            </w:pPr>
            <w:r w:rsidRPr="0032648F">
              <w:rPr>
                <w:rFonts w:eastAsia="Times New Roman" w:cs="Calibri"/>
                <w:smallCaps/>
                <w:color w:val="000000"/>
                <w:szCs w:val="20"/>
                <w:lang w:val="en-GB" w:eastAsia="en-GB"/>
              </w:rPr>
              <w:t xml:space="preserve">Greenhouse Gas (GHG) </w:t>
            </w:r>
            <w:r w:rsidR="00250C18" w:rsidRPr="0032648F">
              <w:rPr>
                <w:rFonts w:eastAsia="Times New Roman" w:cs="Calibri"/>
                <w:smallCaps/>
                <w:color w:val="000000"/>
                <w:szCs w:val="20"/>
                <w:lang w:val="en-GB" w:eastAsia="en-GB"/>
              </w:rPr>
              <w:t>E</w:t>
            </w:r>
            <w:r w:rsidRPr="0032648F">
              <w:rPr>
                <w:rFonts w:eastAsia="Times New Roman" w:cs="Calibri"/>
                <w:smallCaps/>
                <w:color w:val="000000"/>
                <w:szCs w:val="20"/>
                <w:lang w:val="en-GB" w:eastAsia="en-GB"/>
              </w:rPr>
              <w:t>missions</w:t>
            </w:r>
          </w:p>
        </w:tc>
      </w:tr>
      <w:tr w:rsidR="003241EB" w:rsidRPr="0032648F" w:rsidTr="0032648F">
        <w:tc>
          <w:tcPr>
            <w:tcW w:w="1559" w:type="dxa"/>
            <w:shd w:val="clear" w:color="auto" w:fill="auto"/>
            <w:vAlign w:val="center"/>
            <w:hideMark/>
          </w:tcPr>
          <w:p w:rsidR="003241EB" w:rsidRPr="0032648F" w:rsidRDefault="00250C18" w:rsidP="00250C18">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CO2, N2O</w:t>
            </w:r>
          </w:p>
        </w:tc>
        <w:tc>
          <w:tcPr>
            <w:tcW w:w="851" w:type="dxa"/>
            <w:vAlign w:val="center"/>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tCO2e/yr</w:t>
            </w:r>
          </w:p>
        </w:tc>
        <w:tc>
          <w:tcPr>
            <w:tcW w:w="1134" w:type="dxa"/>
            <w:shd w:val="clear" w:color="auto" w:fill="auto"/>
            <w:noWrap/>
            <w:vAlign w:val="center"/>
            <w:hideMark/>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149,904</w:t>
            </w:r>
          </w:p>
        </w:tc>
        <w:tc>
          <w:tcPr>
            <w:tcW w:w="992" w:type="dxa"/>
            <w:shd w:val="clear" w:color="auto" w:fill="auto"/>
            <w:noWrap/>
            <w:vAlign w:val="center"/>
            <w:hideMark/>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144,899</w:t>
            </w:r>
          </w:p>
        </w:tc>
        <w:tc>
          <w:tcPr>
            <w:tcW w:w="1134" w:type="dxa"/>
            <w:shd w:val="clear" w:color="auto" w:fill="auto"/>
            <w:noWrap/>
            <w:vAlign w:val="center"/>
            <w:hideMark/>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58,650</w:t>
            </w:r>
          </w:p>
        </w:tc>
        <w:tc>
          <w:tcPr>
            <w:tcW w:w="1134" w:type="dxa"/>
            <w:shd w:val="clear" w:color="auto" w:fill="auto"/>
            <w:noWrap/>
            <w:vAlign w:val="center"/>
            <w:hideMark/>
          </w:tcPr>
          <w:p w:rsidR="003241EB" w:rsidRPr="0032648F" w:rsidRDefault="003241EB"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45,532</w:t>
            </w:r>
          </w:p>
        </w:tc>
      </w:tr>
      <w:tr w:rsidR="003241EB" w:rsidRPr="0032648F" w:rsidTr="0032648F">
        <w:tc>
          <w:tcPr>
            <w:tcW w:w="6804" w:type="dxa"/>
            <w:gridSpan w:val="6"/>
            <w:shd w:val="clear" w:color="auto" w:fill="F2F2F2" w:themeFill="background1" w:themeFillShade="F2"/>
            <w:vAlign w:val="center"/>
          </w:tcPr>
          <w:p w:rsidR="003241EB" w:rsidRPr="0032648F" w:rsidRDefault="003241EB" w:rsidP="003241EB">
            <w:pPr>
              <w:spacing w:after="0"/>
              <w:jc w:val="center"/>
              <w:rPr>
                <w:rFonts w:eastAsia="Times New Roman" w:cs="Calibri"/>
                <w:smallCaps/>
                <w:color w:val="000000"/>
                <w:szCs w:val="20"/>
                <w:lang w:val="en-GB" w:eastAsia="en-GB"/>
              </w:rPr>
            </w:pPr>
            <w:r w:rsidRPr="0032648F">
              <w:rPr>
                <w:rFonts w:eastAsia="Times New Roman" w:cs="Calibri"/>
                <w:smallCaps/>
                <w:color w:val="000000"/>
                <w:szCs w:val="20"/>
                <w:lang w:val="en-GB" w:eastAsia="en-GB"/>
              </w:rPr>
              <w:t>Other atmospheric contaminants</w:t>
            </w:r>
            <w:r w:rsidR="00250C18" w:rsidRPr="0032648F">
              <w:rPr>
                <w:rFonts w:eastAsia="Times New Roman" w:cs="Calibri"/>
                <w:smallCaps/>
                <w:color w:val="000000"/>
                <w:szCs w:val="20"/>
                <w:lang w:val="en-GB" w:eastAsia="en-GB"/>
              </w:rPr>
              <w:t xml:space="preserve"> (OAC</w:t>
            </w:r>
            <w:r w:rsidRPr="0032648F">
              <w:rPr>
                <w:rFonts w:eastAsia="Times New Roman" w:cs="Calibri"/>
                <w:smallCaps/>
                <w:color w:val="000000"/>
                <w:szCs w:val="20"/>
                <w:lang w:val="en-GB" w:eastAsia="en-GB"/>
              </w:rPr>
              <w:t>)</w:t>
            </w:r>
            <w:r w:rsidR="00250C18" w:rsidRPr="0032648F">
              <w:rPr>
                <w:rFonts w:eastAsia="Times New Roman" w:cs="Calibri"/>
                <w:smallCaps/>
                <w:color w:val="000000"/>
                <w:szCs w:val="20"/>
                <w:lang w:val="en-GB" w:eastAsia="en-GB"/>
              </w:rPr>
              <w:t xml:space="preserve"> Emissions</w:t>
            </w:r>
          </w:p>
        </w:tc>
      </w:tr>
      <w:tr w:rsidR="00250C18" w:rsidRPr="0032648F" w:rsidTr="0032648F">
        <w:tc>
          <w:tcPr>
            <w:tcW w:w="1559" w:type="dxa"/>
            <w:shd w:val="clear" w:color="auto" w:fill="auto"/>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CO</w:t>
            </w:r>
          </w:p>
        </w:tc>
        <w:tc>
          <w:tcPr>
            <w:tcW w:w="851" w:type="dxa"/>
            <w:vMerge w:val="restart"/>
            <w:vAlign w:val="center"/>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ton/yr</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3,002</w:t>
            </w:r>
          </w:p>
        </w:tc>
        <w:tc>
          <w:tcPr>
            <w:tcW w:w="992"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2,890</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1,176</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912</w:t>
            </w:r>
          </w:p>
        </w:tc>
      </w:tr>
      <w:tr w:rsidR="00250C18" w:rsidRPr="0032648F" w:rsidTr="0032648F">
        <w:tc>
          <w:tcPr>
            <w:tcW w:w="1559" w:type="dxa"/>
            <w:shd w:val="clear" w:color="auto" w:fill="auto"/>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HC</w:t>
            </w:r>
          </w:p>
        </w:tc>
        <w:tc>
          <w:tcPr>
            <w:tcW w:w="851" w:type="dxa"/>
            <w:vMerge/>
            <w:vAlign w:val="center"/>
          </w:tcPr>
          <w:p w:rsidR="00250C18" w:rsidRPr="0032648F" w:rsidRDefault="00250C18" w:rsidP="003241EB">
            <w:pPr>
              <w:spacing w:after="0"/>
              <w:jc w:val="center"/>
              <w:rPr>
                <w:rFonts w:eastAsia="Times New Roman" w:cs="Calibri"/>
                <w:color w:val="000000"/>
                <w:szCs w:val="20"/>
                <w:lang w:val="en-GB" w:eastAsia="en-GB"/>
              </w:rPr>
            </w:pP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299</w:t>
            </w:r>
          </w:p>
        </w:tc>
        <w:tc>
          <w:tcPr>
            <w:tcW w:w="992"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288</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117</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91</w:t>
            </w:r>
          </w:p>
        </w:tc>
      </w:tr>
      <w:tr w:rsidR="00250C18" w:rsidRPr="0032648F" w:rsidTr="0032648F">
        <w:tc>
          <w:tcPr>
            <w:tcW w:w="1559" w:type="dxa"/>
            <w:shd w:val="clear" w:color="auto" w:fill="auto"/>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Nox</w:t>
            </w:r>
          </w:p>
        </w:tc>
        <w:tc>
          <w:tcPr>
            <w:tcW w:w="851" w:type="dxa"/>
            <w:vMerge/>
            <w:vAlign w:val="center"/>
          </w:tcPr>
          <w:p w:rsidR="00250C18" w:rsidRPr="0032648F" w:rsidRDefault="00250C18" w:rsidP="003241EB">
            <w:pPr>
              <w:spacing w:after="0"/>
              <w:jc w:val="center"/>
              <w:rPr>
                <w:rFonts w:eastAsia="Times New Roman" w:cs="Calibri"/>
                <w:color w:val="000000"/>
                <w:szCs w:val="20"/>
                <w:lang w:val="en-GB" w:eastAsia="en-GB"/>
              </w:rPr>
            </w:pP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978</w:t>
            </w:r>
          </w:p>
        </w:tc>
        <w:tc>
          <w:tcPr>
            <w:tcW w:w="992"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941</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383</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297</w:t>
            </w:r>
          </w:p>
        </w:tc>
      </w:tr>
      <w:tr w:rsidR="00250C18" w:rsidRPr="0032648F" w:rsidTr="0032648F">
        <w:tc>
          <w:tcPr>
            <w:tcW w:w="1559" w:type="dxa"/>
            <w:shd w:val="clear" w:color="auto" w:fill="auto"/>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SO2</w:t>
            </w:r>
          </w:p>
        </w:tc>
        <w:tc>
          <w:tcPr>
            <w:tcW w:w="851" w:type="dxa"/>
            <w:vMerge/>
            <w:vAlign w:val="center"/>
          </w:tcPr>
          <w:p w:rsidR="00250C18" w:rsidRPr="0032648F" w:rsidRDefault="00250C18" w:rsidP="003241EB">
            <w:pPr>
              <w:spacing w:after="0"/>
              <w:jc w:val="center"/>
              <w:rPr>
                <w:rFonts w:eastAsia="Times New Roman" w:cs="Calibri"/>
                <w:color w:val="000000"/>
                <w:szCs w:val="20"/>
                <w:lang w:val="en-GB" w:eastAsia="en-GB"/>
              </w:rPr>
            </w:pP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280</w:t>
            </w:r>
          </w:p>
        </w:tc>
        <w:tc>
          <w:tcPr>
            <w:tcW w:w="992"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270</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110</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85</w:t>
            </w:r>
          </w:p>
        </w:tc>
      </w:tr>
      <w:tr w:rsidR="00250C18" w:rsidRPr="0032648F" w:rsidTr="0032648F">
        <w:tc>
          <w:tcPr>
            <w:tcW w:w="1559" w:type="dxa"/>
            <w:shd w:val="clear" w:color="auto" w:fill="auto"/>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PM10</w:t>
            </w:r>
          </w:p>
        </w:tc>
        <w:tc>
          <w:tcPr>
            <w:tcW w:w="851" w:type="dxa"/>
            <w:vMerge/>
            <w:vAlign w:val="center"/>
          </w:tcPr>
          <w:p w:rsidR="00250C18" w:rsidRPr="0032648F" w:rsidRDefault="00250C18" w:rsidP="003241EB">
            <w:pPr>
              <w:spacing w:after="0"/>
              <w:jc w:val="center"/>
              <w:rPr>
                <w:rFonts w:eastAsia="Times New Roman" w:cs="Calibri"/>
                <w:color w:val="000000"/>
                <w:szCs w:val="20"/>
                <w:lang w:val="en-GB" w:eastAsia="en-GB"/>
              </w:rPr>
            </w:pP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247</w:t>
            </w:r>
          </w:p>
        </w:tc>
        <w:tc>
          <w:tcPr>
            <w:tcW w:w="992"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238</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85</w:t>
            </w:r>
          </w:p>
        </w:tc>
        <w:tc>
          <w:tcPr>
            <w:tcW w:w="1134" w:type="dxa"/>
            <w:shd w:val="clear" w:color="auto" w:fill="auto"/>
            <w:noWrap/>
            <w:vAlign w:val="center"/>
            <w:hideMark/>
          </w:tcPr>
          <w:p w:rsidR="00250C18" w:rsidRPr="0032648F" w:rsidRDefault="00250C18" w:rsidP="003241EB">
            <w:pPr>
              <w:spacing w:after="0"/>
              <w:jc w:val="center"/>
              <w:rPr>
                <w:rFonts w:eastAsia="Times New Roman" w:cs="Calibri"/>
                <w:color w:val="000000"/>
                <w:szCs w:val="20"/>
                <w:lang w:val="en-GB" w:eastAsia="en-GB"/>
              </w:rPr>
            </w:pPr>
            <w:r w:rsidRPr="0032648F">
              <w:rPr>
                <w:rFonts w:eastAsia="Times New Roman" w:cs="Calibri"/>
                <w:color w:val="000000"/>
                <w:szCs w:val="20"/>
                <w:lang w:val="en-GB" w:eastAsia="en-GB"/>
              </w:rPr>
              <w:t>75</w:t>
            </w:r>
          </w:p>
        </w:tc>
      </w:tr>
    </w:tbl>
    <w:p w:rsidR="003241EB" w:rsidRDefault="003241EB" w:rsidP="00F80A41">
      <w:pPr>
        <w:rPr>
          <w:szCs w:val="22"/>
        </w:rPr>
      </w:pPr>
    </w:p>
    <w:p w:rsidR="00FD5AE6" w:rsidRDefault="002B0EEA" w:rsidP="00F80A41">
      <w:pPr>
        <w:rPr>
          <w:szCs w:val="22"/>
        </w:rPr>
      </w:pPr>
      <w:r>
        <w:rPr>
          <w:szCs w:val="22"/>
        </w:rPr>
        <w:t xml:space="preserve">The study observes that the Baseline 2014 is probably the one that best represents the situation without SITRAMSS operating. However, its reference value is somewhat compromised because works on SITRAMSS were already in progress impacting on local bus routes and passenger rates. </w:t>
      </w:r>
      <w:r w:rsidR="00FD5AE6">
        <w:rPr>
          <w:szCs w:val="22"/>
        </w:rPr>
        <w:t xml:space="preserve">Methodologically, the input parameters are 2012 values which by itself are sometimes best estimates, hence the calculations may made more accurate using better input data once these are available. The input parameters and emission factors used are </w:t>
      </w:r>
      <w:r w:rsidR="00FD5AE6" w:rsidRPr="00BB5402">
        <w:rPr>
          <w:szCs w:val="22"/>
        </w:rPr>
        <w:t xml:space="preserve">summarized </w:t>
      </w:r>
      <w:r w:rsidR="00ED7B2B" w:rsidRPr="00BB5402">
        <w:rPr>
          <w:szCs w:val="22"/>
        </w:rPr>
        <w:t>at the end of this annex.</w:t>
      </w:r>
    </w:p>
    <w:p w:rsidR="00397620" w:rsidRDefault="00397620" w:rsidP="00F80A41">
      <w:pPr>
        <w:rPr>
          <w:szCs w:val="22"/>
        </w:rPr>
      </w:pPr>
    </w:p>
    <w:p w:rsidR="00397620" w:rsidRPr="00BB5402" w:rsidRDefault="00ED7B2B" w:rsidP="00F80A41">
      <w:pPr>
        <w:rPr>
          <w:i/>
          <w:szCs w:val="22"/>
          <w:u w:val="single"/>
        </w:rPr>
      </w:pPr>
      <w:r w:rsidRPr="00BB5402">
        <w:rPr>
          <w:i/>
          <w:szCs w:val="22"/>
          <w:u w:val="single"/>
        </w:rPr>
        <w:t>SITRAMSS alternative scenario</w:t>
      </w:r>
      <w:r w:rsidR="008137DA" w:rsidRPr="00BB5402">
        <w:rPr>
          <w:i/>
          <w:szCs w:val="22"/>
          <w:u w:val="single"/>
        </w:rPr>
        <w:t xml:space="preserve"> 2012 and 2014</w:t>
      </w:r>
    </w:p>
    <w:p w:rsidR="00F80A41" w:rsidRDefault="00F80A41" w:rsidP="00F80A41">
      <w:pPr>
        <w:rPr>
          <w:szCs w:val="22"/>
        </w:rPr>
      </w:pPr>
      <w:r>
        <w:rPr>
          <w:szCs w:val="22"/>
        </w:rPr>
        <w:t xml:space="preserve">The </w:t>
      </w:r>
      <w:r w:rsidR="009D6CA7">
        <w:rPr>
          <w:szCs w:val="22"/>
        </w:rPr>
        <w:t xml:space="preserve">implementation of </w:t>
      </w:r>
      <w:r>
        <w:rPr>
          <w:szCs w:val="22"/>
        </w:rPr>
        <w:t xml:space="preserve">SITRAMSS </w:t>
      </w:r>
      <w:r w:rsidR="009D6CA7">
        <w:rPr>
          <w:szCs w:val="22"/>
        </w:rPr>
        <w:t xml:space="preserve">Corridor </w:t>
      </w:r>
      <w:r>
        <w:rPr>
          <w:szCs w:val="22"/>
        </w:rPr>
        <w:t xml:space="preserve">I involves the following scenarios: </w:t>
      </w:r>
    </w:p>
    <w:p w:rsidR="00F80A41" w:rsidRPr="00ED7B2B" w:rsidRDefault="00F80A41" w:rsidP="00F80A41">
      <w:pPr>
        <w:ind w:left="720"/>
        <w:rPr>
          <w:szCs w:val="22"/>
        </w:rPr>
      </w:pPr>
      <w:r>
        <w:rPr>
          <w:szCs w:val="22"/>
        </w:rPr>
        <w:t>(1) A “non-optimized 2012 system” based on a reduction of vehicle number to 967 as follows: 368 operational buses composed of a mix of 85 new buses and 283 re-used units, and 502 microbuses (82 new microbuses and 420 re-used ones); plus 35 articulated and 62 short SITRAMSS buses</w:t>
      </w:r>
      <w:r w:rsidR="009D6CA7">
        <w:rPr>
          <w:szCs w:val="22"/>
        </w:rPr>
        <w:t xml:space="preserve"> (padrones)</w:t>
      </w:r>
      <w:r>
        <w:rPr>
          <w:szCs w:val="22"/>
        </w:rPr>
        <w:t xml:space="preserve">. </w:t>
      </w:r>
      <w:r w:rsidR="00ED7B2B">
        <w:rPr>
          <w:szCs w:val="22"/>
        </w:rPr>
        <w:t>This alternative allows for maintaining existing routes to a large extent continues the use of con</w:t>
      </w:r>
      <w:r w:rsidR="00ED7B2B" w:rsidRPr="005D0182">
        <w:rPr>
          <w:szCs w:val="22"/>
        </w:rPr>
        <w:t xml:space="preserve">ventional buses by adding new units to this fleet. </w:t>
      </w:r>
      <w:r w:rsidR="005D0182" w:rsidRPr="005D0182">
        <w:rPr>
          <w:szCs w:val="22"/>
        </w:rPr>
        <w:t>Total diesel consumption would be 16,745,389 l/yr.</w:t>
      </w:r>
    </w:p>
    <w:p w:rsidR="00F80A41" w:rsidRDefault="00F80A41" w:rsidP="00F80A41">
      <w:pPr>
        <w:ind w:left="720"/>
        <w:rPr>
          <w:szCs w:val="22"/>
        </w:rPr>
      </w:pPr>
      <w:r>
        <w:rPr>
          <w:szCs w:val="22"/>
        </w:rPr>
        <w:t>(2) An “optimized 2012 system” which assumes a total of 683 vehicles operating: 198 re-used buses and 183 re-used microbuses, plus 35 articulated and 267 short SITRAMSS buses</w:t>
      </w:r>
      <w:r w:rsidR="009D6CA7">
        <w:rPr>
          <w:szCs w:val="22"/>
        </w:rPr>
        <w:t xml:space="preserve"> (padrones)</w:t>
      </w:r>
      <w:r>
        <w:rPr>
          <w:szCs w:val="22"/>
        </w:rPr>
        <w:t xml:space="preserve">. </w:t>
      </w:r>
      <w:r w:rsidR="00ED7B2B">
        <w:rPr>
          <w:szCs w:val="22"/>
        </w:rPr>
        <w:t xml:space="preserve"> Compared to the first scen</w:t>
      </w:r>
      <w:r w:rsidR="00ED7B2B" w:rsidRPr="005D0182">
        <w:rPr>
          <w:szCs w:val="22"/>
        </w:rPr>
        <w:t xml:space="preserve">ario, this alternative encompasses the replacement of large number of conventional buses by SITRAMSS “padrones” offering high-quality service. </w:t>
      </w:r>
      <w:r w:rsidRPr="005D0182">
        <w:rPr>
          <w:szCs w:val="22"/>
        </w:rPr>
        <w:t>Total diesel consumption would be 13,608,707 l/yr.</w:t>
      </w:r>
    </w:p>
    <w:p w:rsidR="00F80A41" w:rsidRDefault="00F80A41" w:rsidP="00ED7B2B">
      <w:pPr>
        <w:ind w:left="720"/>
        <w:rPr>
          <w:szCs w:val="22"/>
        </w:rPr>
      </w:pPr>
      <w:r>
        <w:rPr>
          <w:szCs w:val="22"/>
        </w:rPr>
        <w:t>(3) A “2014 system” based on a reduction of the 1,142 units to 672 as follows: 340 re-used buses and 332 re-used microbuses, plus 27 articulated and 138 short SITRAMSS buses</w:t>
      </w:r>
      <w:r w:rsidR="009D6CA7">
        <w:rPr>
          <w:szCs w:val="22"/>
        </w:rPr>
        <w:t xml:space="preserve"> (padrones)</w:t>
      </w:r>
      <w:r>
        <w:rPr>
          <w:szCs w:val="22"/>
        </w:rPr>
        <w:t xml:space="preserve">. </w:t>
      </w:r>
      <w:r w:rsidR="009C2DB2">
        <w:rPr>
          <w:szCs w:val="22"/>
        </w:rPr>
        <w:t xml:space="preserve">The 2014 scenario assumes that feeder (T) and pre-feeder (P) routes will replace the current bus system as follows: T I (Soyapango); T2 (Ilopango); P1 (Soyapango to Salvador del Mundo) and P2 (Ilopango – Salvador del Mundo via Agua Caliente). </w:t>
      </w:r>
      <w:r w:rsidR="00ED7B2B">
        <w:rPr>
          <w:szCs w:val="22"/>
        </w:rPr>
        <w:t>In 2015, r</w:t>
      </w:r>
      <w:r w:rsidR="009C2DB2">
        <w:rPr>
          <w:szCs w:val="22"/>
        </w:rPr>
        <w:t>oute T I has been implemented</w:t>
      </w:r>
      <w:r w:rsidR="00ED7B2B">
        <w:rPr>
          <w:szCs w:val="22"/>
        </w:rPr>
        <w:t>. The advan</w:t>
      </w:r>
      <w:r w:rsidR="005D0182">
        <w:rPr>
          <w:szCs w:val="22"/>
        </w:rPr>
        <w:t>ta</w:t>
      </w:r>
      <w:r w:rsidR="00ED7B2B">
        <w:rPr>
          <w:szCs w:val="22"/>
        </w:rPr>
        <w:t>ge of this scenario is that it avoids investment in new conventional buses while it encomp</w:t>
      </w:r>
      <w:r w:rsidR="00ED7B2B" w:rsidRPr="005D0182">
        <w:rPr>
          <w:szCs w:val="22"/>
        </w:rPr>
        <w:t xml:space="preserve">asses less SITRAMSS units than under alternative 2. </w:t>
      </w:r>
      <w:r w:rsidR="005D0182" w:rsidRPr="005D0182">
        <w:rPr>
          <w:szCs w:val="22"/>
        </w:rPr>
        <w:t>Total diesel consumption would be 10,470,694 l/yr.</w:t>
      </w:r>
    </w:p>
    <w:p w:rsidR="0026107B" w:rsidRDefault="0026107B" w:rsidP="009C2DB2">
      <w:pPr>
        <w:rPr>
          <w:szCs w:val="22"/>
        </w:rPr>
      </w:pPr>
    </w:p>
    <w:p w:rsidR="00B03B4A" w:rsidRDefault="009C2DB2" w:rsidP="00B03B4A">
      <w:pPr>
        <w:rPr>
          <w:szCs w:val="22"/>
        </w:rPr>
      </w:pPr>
      <w:r>
        <w:rPr>
          <w:szCs w:val="22"/>
        </w:rPr>
        <w:t xml:space="preserve">The next table provides a breakdown of GHG emissions </w:t>
      </w:r>
      <w:r w:rsidR="00816D45">
        <w:rPr>
          <w:szCs w:val="22"/>
        </w:rPr>
        <w:t xml:space="preserve">as made by the assessment study for </w:t>
      </w:r>
      <w:r>
        <w:rPr>
          <w:szCs w:val="22"/>
        </w:rPr>
        <w:t xml:space="preserve">the </w:t>
      </w:r>
      <w:r w:rsidR="00816D45">
        <w:rPr>
          <w:szCs w:val="22"/>
        </w:rPr>
        <w:t xml:space="preserve">Baseline </w:t>
      </w:r>
      <w:r>
        <w:rPr>
          <w:szCs w:val="22"/>
        </w:rPr>
        <w:t>2012 and 2014 baseline and the three depicted scenarios</w:t>
      </w:r>
      <w:r w:rsidR="00816D45">
        <w:rPr>
          <w:szCs w:val="22"/>
        </w:rPr>
        <w:t xml:space="preserve">. It further shows the </w:t>
      </w:r>
      <w:r>
        <w:rPr>
          <w:szCs w:val="22"/>
        </w:rPr>
        <w:t xml:space="preserve">the estimated </w:t>
      </w:r>
      <w:r w:rsidR="00816D45">
        <w:rPr>
          <w:szCs w:val="22"/>
        </w:rPr>
        <w:t xml:space="preserve">GHG </w:t>
      </w:r>
      <w:r>
        <w:rPr>
          <w:szCs w:val="22"/>
        </w:rPr>
        <w:t xml:space="preserve">emission reductions compared to the Baseline </w:t>
      </w:r>
      <w:r w:rsidR="006003E6">
        <w:rPr>
          <w:szCs w:val="22"/>
        </w:rPr>
        <w:t xml:space="preserve">2012 and </w:t>
      </w:r>
      <w:r>
        <w:rPr>
          <w:szCs w:val="22"/>
        </w:rPr>
        <w:t>2014</w:t>
      </w:r>
      <w:r w:rsidR="006003E6">
        <w:rPr>
          <w:szCs w:val="22"/>
        </w:rPr>
        <w:t>. For the 2014 case, it  specifies the contributions of the different route  systems to the total  GHG reduction.</w:t>
      </w:r>
      <w:r w:rsidR="00B03B4A">
        <w:rPr>
          <w:szCs w:val="22"/>
        </w:rPr>
        <w:t xml:space="preserve"> The estimates are based on the assumption that the number of users of SITRAMSS grows by 3.5% in year 1, 5.5% year 2, 8.0% year 3. These data are based on observations of the BRT system in Guatemala City. For subsequent years, a figure of 0.24% is taken corresponding to the observed demand growth in the current public transport system in the AMSS. </w:t>
      </w:r>
    </w:p>
    <w:p w:rsidR="005D0182" w:rsidRDefault="005D0182" w:rsidP="00B03B4A">
      <w:pPr>
        <w:rPr>
          <w:szCs w:val="22"/>
        </w:rPr>
      </w:pPr>
    </w:p>
    <w:p w:rsidR="005D0182" w:rsidRDefault="005D0182" w:rsidP="00B03B4A">
      <w:pPr>
        <w:rPr>
          <w:szCs w:val="22"/>
        </w:rPr>
      </w:pPr>
    </w:p>
    <w:p w:rsidR="00445D35" w:rsidRDefault="00445D35" w:rsidP="00AE4B81">
      <w:pPr>
        <w:rPr>
          <w:szCs w:val="22"/>
        </w:rPr>
        <w:sectPr w:rsidR="00445D35" w:rsidSect="005A1AA2">
          <w:footerReference w:type="default" r:id="rId8"/>
          <w:pgSz w:w="11906" w:h="16838"/>
          <w:pgMar w:top="1440" w:right="1440" w:bottom="1440" w:left="1440" w:header="708" w:footer="708" w:gutter="0"/>
          <w:cols w:space="708"/>
          <w:docGrid w:linePitch="360"/>
        </w:sectPr>
      </w:pPr>
    </w:p>
    <w:p w:rsidR="00AE4B81" w:rsidRDefault="00AE4B81" w:rsidP="00AE4B81">
      <w:pPr>
        <w:rPr>
          <w:szCs w:val="22"/>
        </w:rPr>
      </w:pP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4A0" w:firstRow="1" w:lastRow="0" w:firstColumn="1" w:lastColumn="0" w:noHBand="0" w:noVBand="1"/>
      </w:tblPr>
      <w:tblGrid>
        <w:gridCol w:w="2405"/>
        <w:gridCol w:w="992"/>
        <w:gridCol w:w="993"/>
        <w:gridCol w:w="992"/>
        <w:gridCol w:w="992"/>
        <w:gridCol w:w="992"/>
        <w:gridCol w:w="993"/>
        <w:gridCol w:w="992"/>
        <w:gridCol w:w="1134"/>
        <w:gridCol w:w="992"/>
        <w:gridCol w:w="992"/>
        <w:gridCol w:w="1134"/>
      </w:tblGrid>
      <w:tr w:rsidR="00790711" w:rsidRPr="00896D11" w:rsidTr="00896D11">
        <w:trPr>
          <w:trHeight w:val="240"/>
        </w:trPr>
        <w:tc>
          <w:tcPr>
            <w:tcW w:w="13603" w:type="dxa"/>
            <w:gridSpan w:val="12"/>
            <w:shd w:val="clear" w:color="auto" w:fill="D9D9D9" w:themeFill="background1" w:themeFillShade="D9"/>
            <w:noWrap/>
            <w:vAlign w:val="bottom"/>
          </w:tcPr>
          <w:p w:rsidR="00790711" w:rsidRPr="00896D11" w:rsidRDefault="00790711" w:rsidP="00445D35">
            <w:pPr>
              <w:spacing w:after="0"/>
              <w:jc w:val="left"/>
              <w:rPr>
                <w:rFonts w:asciiTheme="minorHAnsi" w:eastAsia="Times New Roman" w:hAnsiTheme="minorHAnsi" w:cstheme="minorHAnsi"/>
                <w:smallCaps/>
                <w:color w:val="000000"/>
                <w:szCs w:val="18"/>
                <w:lang w:val="en-GB" w:eastAsia="en-GB"/>
              </w:rPr>
            </w:pPr>
            <w:r w:rsidRPr="00896D11">
              <w:rPr>
                <w:rFonts w:asciiTheme="minorHAnsi" w:eastAsia="Times New Roman" w:hAnsiTheme="minorHAnsi" w:cstheme="minorHAnsi"/>
                <w:smallCaps/>
                <w:color w:val="000000"/>
                <w:szCs w:val="18"/>
                <w:lang w:val="en-GB" w:eastAsia="en-GB"/>
              </w:rPr>
              <w:t>SITRAMSS – Greenhouse Gas Emissions under Baseline and Alternative Scenarios for 2012 and 2014</w:t>
            </w:r>
          </w:p>
        </w:tc>
      </w:tr>
      <w:tr w:rsidR="00896D11" w:rsidRPr="00896D11" w:rsidTr="006003E6">
        <w:trPr>
          <w:trHeight w:val="240"/>
        </w:trPr>
        <w:tc>
          <w:tcPr>
            <w:tcW w:w="2405" w:type="dxa"/>
            <w:vMerge w:val="restart"/>
            <w:shd w:val="clear" w:color="auto" w:fill="D9D9D9" w:themeFill="background1" w:themeFillShade="D9"/>
            <w:noWrap/>
            <w:vAlign w:val="center"/>
          </w:tcPr>
          <w:p w:rsidR="00896D11" w:rsidRPr="00896D11" w:rsidRDefault="00896D11" w:rsidP="00790711">
            <w:pPr>
              <w:spacing w:after="0"/>
              <w:jc w:val="center"/>
              <w:rPr>
                <w:rFonts w:asciiTheme="minorHAnsi" w:eastAsia="Times New Roman" w:hAnsiTheme="minorHAnsi" w:cstheme="minorHAnsi"/>
                <w:color w:val="000000"/>
                <w:szCs w:val="18"/>
                <w:lang w:val="en-GB" w:eastAsia="en-GB"/>
              </w:rPr>
            </w:pPr>
            <w:r>
              <w:rPr>
                <w:rFonts w:asciiTheme="minorHAnsi" w:eastAsia="Times New Roman" w:hAnsiTheme="minorHAnsi" w:cstheme="minorHAnsi"/>
                <w:color w:val="000000"/>
                <w:szCs w:val="18"/>
                <w:lang w:val="en-GB" w:eastAsia="en-GB"/>
              </w:rPr>
              <w:t>Scenario</w:t>
            </w:r>
          </w:p>
        </w:tc>
        <w:tc>
          <w:tcPr>
            <w:tcW w:w="11198" w:type="dxa"/>
            <w:gridSpan w:val="11"/>
            <w:shd w:val="clear" w:color="auto" w:fill="D9D9D9" w:themeFill="background1" w:themeFillShade="D9"/>
            <w:vAlign w:val="center"/>
          </w:tcPr>
          <w:p w:rsidR="00896D11" w:rsidRPr="00896D11" w:rsidRDefault="00896D11" w:rsidP="00790711">
            <w:pPr>
              <w:spacing w:after="0"/>
              <w:jc w:val="center"/>
              <w:rPr>
                <w:rFonts w:asciiTheme="minorHAnsi" w:eastAsia="Times New Roman" w:hAnsiTheme="minorHAnsi" w:cstheme="minorHAnsi"/>
                <w:smallCaps/>
                <w:szCs w:val="18"/>
                <w:lang w:val="en-GB" w:eastAsia="en-GB"/>
              </w:rPr>
            </w:pPr>
            <w:r w:rsidRPr="00896D11">
              <w:rPr>
                <w:rFonts w:asciiTheme="minorHAnsi" w:eastAsia="Times New Roman" w:hAnsiTheme="minorHAnsi" w:cstheme="minorHAnsi"/>
                <w:smallCaps/>
                <w:color w:val="000000"/>
                <w:szCs w:val="18"/>
                <w:lang w:val="en-GB" w:eastAsia="en-GB"/>
              </w:rPr>
              <w:t>YEAR</w:t>
            </w:r>
          </w:p>
        </w:tc>
      </w:tr>
      <w:tr w:rsidR="00896D11" w:rsidRPr="00896D11" w:rsidTr="006003E6">
        <w:trPr>
          <w:trHeight w:val="240"/>
        </w:trPr>
        <w:tc>
          <w:tcPr>
            <w:tcW w:w="2405" w:type="dxa"/>
            <w:vMerge/>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color w:val="000000"/>
                <w:szCs w:val="18"/>
                <w:lang w:val="en-GB" w:eastAsia="en-GB"/>
              </w:rPr>
            </w:pPr>
          </w:p>
        </w:tc>
        <w:tc>
          <w:tcPr>
            <w:tcW w:w="992" w:type="dxa"/>
            <w:shd w:val="clear" w:color="auto" w:fill="D9D9D9" w:themeFill="background1" w:themeFillShade="D9"/>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2015</w:t>
            </w:r>
          </w:p>
        </w:tc>
        <w:tc>
          <w:tcPr>
            <w:tcW w:w="993"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2016</w:t>
            </w:r>
          </w:p>
        </w:tc>
        <w:tc>
          <w:tcPr>
            <w:tcW w:w="992"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2017</w:t>
            </w:r>
          </w:p>
        </w:tc>
        <w:tc>
          <w:tcPr>
            <w:tcW w:w="992"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2018</w:t>
            </w:r>
          </w:p>
        </w:tc>
        <w:tc>
          <w:tcPr>
            <w:tcW w:w="992"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2019</w:t>
            </w:r>
          </w:p>
        </w:tc>
        <w:tc>
          <w:tcPr>
            <w:tcW w:w="993"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2020</w:t>
            </w:r>
          </w:p>
        </w:tc>
        <w:tc>
          <w:tcPr>
            <w:tcW w:w="992"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2021</w:t>
            </w:r>
          </w:p>
        </w:tc>
        <w:tc>
          <w:tcPr>
            <w:tcW w:w="1134"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2022</w:t>
            </w:r>
          </w:p>
        </w:tc>
        <w:tc>
          <w:tcPr>
            <w:tcW w:w="992"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2023</w:t>
            </w:r>
          </w:p>
        </w:tc>
        <w:tc>
          <w:tcPr>
            <w:tcW w:w="992" w:type="dxa"/>
            <w:shd w:val="clear" w:color="auto" w:fill="D9D9D9" w:themeFill="background1" w:themeFillShade="D9"/>
            <w:noWrap/>
            <w:vAlign w:val="center"/>
          </w:tcPr>
          <w:p w:rsidR="00896D11" w:rsidRPr="00896D11" w:rsidRDefault="006003E6" w:rsidP="00896D11">
            <w:pPr>
              <w:spacing w:after="0"/>
              <w:jc w:val="center"/>
              <w:rPr>
                <w:rFonts w:asciiTheme="minorHAnsi" w:eastAsia="Times New Roman" w:hAnsiTheme="minorHAnsi" w:cstheme="minorHAnsi"/>
                <w:bCs/>
                <w:color w:val="000000"/>
                <w:szCs w:val="18"/>
                <w:lang w:val="en-GB" w:eastAsia="en-GB"/>
              </w:rPr>
            </w:pPr>
            <w:r>
              <w:rPr>
                <w:rFonts w:asciiTheme="minorHAnsi" w:eastAsia="Times New Roman" w:hAnsiTheme="minorHAnsi" w:cstheme="minorHAnsi"/>
                <w:bCs/>
                <w:color w:val="000000"/>
                <w:szCs w:val="18"/>
                <w:lang w:val="en-GB" w:eastAsia="en-GB"/>
              </w:rPr>
              <w:t>202</w:t>
            </w:r>
            <w:r w:rsidR="00896D11" w:rsidRPr="00896D11">
              <w:rPr>
                <w:rFonts w:asciiTheme="minorHAnsi" w:eastAsia="Times New Roman" w:hAnsiTheme="minorHAnsi" w:cstheme="minorHAnsi"/>
                <w:bCs/>
                <w:color w:val="000000"/>
                <w:szCs w:val="18"/>
                <w:lang w:val="en-GB" w:eastAsia="en-GB"/>
              </w:rPr>
              <w:t>4</w:t>
            </w:r>
          </w:p>
        </w:tc>
        <w:tc>
          <w:tcPr>
            <w:tcW w:w="1134" w:type="dxa"/>
            <w:shd w:val="clear" w:color="auto" w:fill="D9D9D9" w:themeFill="background1" w:themeFillShade="D9"/>
            <w:noWrap/>
            <w:vAlign w:val="center"/>
          </w:tcPr>
          <w:p w:rsidR="00896D11" w:rsidRPr="00896D11" w:rsidRDefault="00896D11" w:rsidP="00896D11">
            <w:pPr>
              <w:spacing w:after="0"/>
              <w:jc w:val="center"/>
              <w:rPr>
                <w:rFonts w:asciiTheme="minorHAnsi" w:eastAsia="Times New Roman" w:hAnsiTheme="minorHAnsi" w:cstheme="minorHAnsi"/>
                <w:bCs/>
                <w:color w:val="000000"/>
                <w:szCs w:val="18"/>
                <w:lang w:val="en-GB" w:eastAsia="en-GB"/>
              </w:rPr>
            </w:pPr>
            <w:r w:rsidRPr="00896D11">
              <w:rPr>
                <w:rFonts w:asciiTheme="minorHAnsi" w:eastAsia="Times New Roman" w:hAnsiTheme="minorHAnsi" w:cstheme="minorHAnsi"/>
                <w:bCs/>
                <w:color w:val="000000"/>
                <w:szCs w:val="18"/>
                <w:lang w:val="en-GB" w:eastAsia="en-GB"/>
              </w:rPr>
              <w:t>TOTAL</w:t>
            </w:r>
          </w:p>
        </w:tc>
      </w:tr>
      <w:tr w:rsidR="00896D11" w:rsidRPr="00896D11" w:rsidTr="00896D11">
        <w:trPr>
          <w:trHeight w:val="240"/>
        </w:trPr>
        <w:tc>
          <w:tcPr>
            <w:tcW w:w="13603" w:type="dxa"/>
            <w:gridSpan w:val="12"/>
            <w:shd w:val="clear" w:color="auto" w:fill="F2F2F2" w:themeFill="background1" w:themeFillShade="F2"/>
            <w:noWrap/>
            <w:vAlign w:val="center"/>
            <w:hideMark/>
          </w:tcPr>
          <w:p w:rsidR="00896D11" w:rsidRPr="00896D11" w:rsidRDefault="00896D11" w:rsidP="00896D11">
            <w:pPr>
              <w:spacing w:after="0"/>
              <w:jc w:val="center"/>
              <w:rPr>
                <w:rFonts w:asciiTheme="minorHAnsi" w:eastAsia="Times New Roman" w:hAnsiTheme="minorHAnsi" w:cstheme="minorHAnsi"/>
                <w:smallCaps/>
                <w:sz w:val="18"/>
                <w:szCs w:val="18"/>
                <w:lang w:val="en-GB" w:eastAsia="en-GB"/>
              </w:rPr>
            </w:pPr>
            <w:r w:rsidRPr="00896D11">
              <w:rPr>
                <w:rFonts w:asciiTheme="minorHAnsi" w:eastAsia="Times New Roman" w:hAnsiTheme="minorHAnsi" w:cstheme="minorHAnsi"/>
                <w:smallCaps/>
                <w:color w:val="000000"/>
                <w:sz w:val="18"/>
                <w:szCs w:val="18"/>
                <w:lang w:val="en-GB" w:eastAsia="en-GB"/>
              </w:rPr>
              <w:t>Annual GHG Emissions Scenarios 1, 2 and 3 (tCO2e)</w:t>
            </w:r>
          </w:p>
        </w:tc>
      </w:tr>
      <w:tr w:rsidR="00896D11" w:rsidRPr="00896D11" w:rsidTr="006003E6">
        <w:trPr>
          <w:trHeight w:val="64"/>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Base Line 2012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57,322</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56,885</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56,451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56,021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55,594</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55,170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54,750</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54,332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53,918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53,507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553,950</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Base Line 2014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bCs/>
                <w:color w:val="000000"/>
                <w:sz w:val="18"/>
                <w:szCs w:val="18"/>
                <w:lang w:val="en-GB" w:eastAsia="en-GB"/>
              </w:rPr>
            </w:pPr>
            <w:r w:rsidRPr="00896D11">
              <w:rPr>
                <w:rFonts w:asciiTheme="minorHAnsi" w:eastAsia="Times New Roman" w:hAnsiTheme="minorHAnsi" w:cstheme="minorHAnsi"/>
                <w:bCs/>
                <w:color w:val="000000"/>
                <w:sz w:val="18"/>
                <w:szCs w:val="18"/>
                <w:lang w:val="en-GB" w:eastAsia="en-GB"/>
              </w:rPr>
              <w:t>45,185</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44,840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44,498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44,159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43,823</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43,488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43,157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42,828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42,501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42,177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436,656</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 xml:space="preserve">SITRAMSS 1 </w:t>
            </w:r>
            <w:r w:rsidR="006003E6">
              <w:rPr>
                <w:rFonts w:asciiTheme="minorHAnsi" w:eastAsia="Times New Roman" w:hAnsiTheme="minorHAnsi" w:cstheme="minorHAnsi"/>
                <w:color w:val="000000"/>
                <w:sz w:val="18"/>
                <w:szCs w:val="18"/>
                <w:lang w:val="en-GB" w:eastAsia="en-GB"/>
              </w:rPr>
              <w:t>(</w:t>
            </w:r>
            <w:r w:rsidRPr="00896D11">
              <w:rPr>
                <w:rFonts w:asciiTheme="minorHAnsi" w:eastAsia="Times New Roman" w:hAnsiTheme="minorHAnsi" w:cstheme="minorHAnsi"/>
                <w:color w:val="000000"/>
                <w:sz w:val="18"/>
                <w:szCs w:val="18"/>
                <w:lang w:val="en-GB" w:eastAsia="en-GB"/>
              </w:rPr>
              <w:t>2012</w:t>
            </w:r>
            <w:r w:rsidR="006003E6">
              <w:rPr>
                <w:rFonts w:asciiTheme="minorHAnsi" w:eastAsia="Times New Roman" w:hAnsiTheme="minorHAnsi" w:cstheme="minorHAnsi"/>
                <w:color w:val="000000"/>
                <w:sz w:val="18"/>
                <w:szCs w:val="18"/>
                <w:lang w:val="en-GB" w:eastAsia="en-GB"/>
              </w:rPr>
              <w:t>)</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44,495</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44,050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43,610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43,174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42,742</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42,314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41,891</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41,472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41,058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40,647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425,453</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 xml:space="preserve">SITRAMSS 2 </w:t>
            </w:r>
            <w:r w:rsidR="006003E6">
              <w:rPr>
                <w:rFonts w:asciiTheme="minorHAnsi" w:eastAsia="Times New Roman" w:hAnsiTheme="minorHAnsi" w:cstheme="minorHAnsi"/>
                <w:color w:val="000000"/>
                <w:sz w:val="18"/>
                <w:szCs w:val="18"/>
                <w:lang w:val="en-GB" w:eastAsia="en-GB"/>
              </w:rPr>
              <w:t>(</w:t>
            </w:r>
            <w:r w:rsidRPr="00896D11">
              <w:rPr>
                <w:rFonts w:asciiTheme="minorHAnsi" w:eastAsia="Times New Roman" w:hAnsiTheme="minorHAnsi" w:cstheme="minorHAnsi"/>
                <w:color w:val="000000"/>
                <w:sz w:val="18"/>
                <w:szCs w:val="18"/>
                <w:lang w:val="en-GB" w:eastAsia="en-GB"/>
              </w:rPr>
              <w:t>2012</w:t>
            </w:r>
            <w:r w:rsidR="006003E6">
              <w:rPr>
                <w:rFonts w:asciiTheme="minorHAnsi" w:eastAsia="Times New Roman" w:hAnsiTheme="minorHAnsi" w:cstheme="minorHAnsi"/>
                <w:color w:val="000000"/>
                <w:sz w:val="18"/>
                <w:szCs w:val="18"/>
                <w:lang w:val="en-GB" w:eastAsia="en-GB"/>
              </w:rPr>
              <w:t>)</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36,526</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36,161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35,799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35,441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35,087</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34,736</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34,388</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34,044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33,704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33,367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349,253</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 xml:space="preserve">SITRAMSS </w:t>
            </w:r>
            <w:r w:rsidR="006003E6">
              <w:rPr>
                <w:rFonts w:asciiTheme="minorHAnsi" w:eastAsia="Times New Roman" w:hAnsiTheme="minorHAnsi" w:cstheme="minorHAnsi"/>
                <w:color w:val="000000"/>
                <w:sz w:val="18"/>
                <w:szCs w:val="18"/>
                <w:lang w:val="en-GB" w:eastAsia="en-GB"/>
              </w:rPr>
              <w:t>3 (</w:t>
            </w:r>
            <w:r w:rsidRPr="00896D11">
              <w:rPr>
                <w:rFonts w:asciiTheme="minorHAnsi" w:eastAsia="Times New Roman" w:hAnsiTheme="minorHAnsi" w:cstheme="minorHAnsi"/>
                <w:color w:val="000000"/>
                <w:sz w:val="18"/>
                <w:szCs w:val="18"/>
                <w:lang w:val="en-GB" w:eastAsia="en-GB"/>
              </w:rPr>
              <w:t>2014</w:t>
            </w:r>
            <w:r w:rsidR="006003E6">
              <w:rPr>
                <w:rFonts w:asciiTheme="minorHAnsi" w:eastAsia="Times New Roman" w:hAnsiTheme="minorHAnsi" w:cstheme="minorHAnsi"/>
                <w:color w:val="000000"/>
                <w:sz w:val="18"/>
                <w:szCs w:val="18"/>
                <w:lang w:val="en-GB" w:eastAsia="en-GB"/>
              </w:rPr>
              <w:t>)</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bCs/>
                <w:color w:val="000000"/>
                <w:sz w:val="18"/>
                <w:szCs w:val="18"/>
                <w:lang w:val="en-GB" w:eastAsia="en-GB"/>
              </w:rPr>
            </w:pPr>
            <w:r w:rsidRPr="00896D11">
              <w:rPr>
                <w:rFonts w:asciiTheme="minorHAnsi" w:eastAsia="Times New Roman" w:hAnsiTheme="minorHAnsi" w:cstheme="minorHAnsi"/>
                <w:bCs/>
                <w:color w:val="000000"/>
                <w:sz w:val="18"/>
                <w:szCs w:val="18"/>
                <w:lang w:val="en-GB" w:eastAsia="en-GB"/>
              </w:rPr>
              <w:t>27,822</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27,544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27,269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26,996</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26,726</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26,459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26,194</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25,932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25,673</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25,416</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bCs/>
                <w:color w:val="000000"/>
                <w:sz w:val="18"/>
                <w:szCs w:val="18"/>
                <w:lang w:val="en-GB" w:eastAsia="en-GB"/>
              </w:rPr>
            </w:pPr>
            <w:r w:rsidRPr="00896D11">
              <w:rPr>
                <w:rFonts w:asciiTheme="minorHAnsi" w:eastAsia="Times New Roman" w:hAnsiTheme="minorHAnsi" w:cstheme="minorHAnsi"/>
                <w:bCs/>
                <w:color w:val="000000"/>
                <w:sz w:val="18"/>
                <w:szCs w:val="18"/>
                <w:lang w:val="en-GB" w:eastAsia="en-GB"/>
              </w:rPr>
              <w:t>266,031</w:t>
            </w:r>
          </w:p>
        </w:tc>
      </w:tr>
      <w:tr w:rsidR="00896D11" w:rsidRPr="00896D11" w:rsidTr="00896D11">
        <w:trPr>
          <w:trHeight w:val="240"/>
        </w:trPr>
        <w:tc>
          <w:tcPr>
            <w:tcW w:w="13603" w:type="dxa"/>
            <w:gridSpan w:val="12"/>
            <w:shd w:val="clear" w:color="auto" w:fill="F2F2F2" w:themeFill="background1" w:themeFillShade="F2"/>
            <w:noWrap/>
            <w:vAlign w:val="center"/>
            <w:hideMark/>
          </w:tcPr>
          <w:p w:rsidR="00896D11" w:rsidRPr="00896D11" w:rsidRDefault="00896D11" w:rsidP="00896D11">
            <w:pPr>
              <w:spacing w:after="0"/>
              <w:jc w:val="center"/>
              <w:rPr>
                <w:rFonts w:asciiTheme="minorHAnsi" w:eastAsia="Times New Roman" w:hAnsiTheme="minorHAnsi" w:cstheme="minorHAnsi"/>
                <w:smallCaps/>
                <w:sz w:val="18"/>
                <w:szCs w:val="18"/>
                <w:lang w:val="en-GB" w:eastAsia="en-GB"/>
              </w:rPr>
            </w:pPr>
            <w:r w:rsidRPr="00896D11">
              <w:rPr>
                <w:rFonts w:asciiTheme="minorHAnsi" w:eastAsia="Times New Roman" w:hAnsiTheme="minorHAnsi" w:cstheme="minorHAnsi"/>
                <w:smallCaps/>
                <w:color w:val="000000"/>
                <w:sz w:val="18"/>
                <w:szCs w:val="18"/>
                <w:lang w:val="en-GB" w:eastAsia="en-GB"/>
              </w:rPr>
              <w:t>Annual GHG Emission reductions Scenarios 1 and compared to Base Line 2012 (tCO2e)</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SITRAMSS 1 (2012)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12,827</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12,835</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12,841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12,847</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12,852</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12,856</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12,859</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12,860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12,860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12,860</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128,497</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SITRAMSS 2 (2012)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20,796</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20,724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20,652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20,580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20,507</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20,434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20,362</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20,288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20,214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20,140</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204,697</w:t>
            </w:r>
          </w:p>
        </w:tc>
      </w:tr>
      <w:tr w:rsidR="00896D11" w:rsidRPr="00896D11" w:rsidTr="00896D11">
        <w:trPr>
          <w:trHeight w:val="240"/>
        </w:trPr>
        <w:tc>
          <w:tcPr>
            <w:tcW w:w="13603" w:type="dxa"/>
            <w:gridSpan w:val="12"/>
            <w:shd w:val="clear" w:color="auto" w:fill="F2F2F2" w:themeFill="background1" w:themeFillShade="F2"/>
            <w:noWrap/>
            <w:vAlign w:val="center"/>
            <w:hideMark/>
          </w:tcPr>
          <w:p w:rsidR="00896D11" w:rsidRPr="00896D11" w:rsidRDefault="00896D11" w:rsidP="00896D11">
            <w:pPr>
              <w:spacing w:after="0"/>
              <w:jc w:val="center"/>
              <w:rPr>
                <w:rFonts w:asciiTheme="minorHAnsi" w:eastAsia="Times New Roman" w:hAnsiTheme="minorHAnsi" w:cstheme="minorHAnsi"/>
                <w:smallCaps/>
                <w:sz w:val="18"/>
                <w:szCs w:val="18"/>
                <w:lang w:val="en-GB" w:eastAsia="en-GB"/>
              </w:rPr>
            </w:pPr>
            <w:r w:rsidRPr="00896D11">
              <w:rPr>
                <w:rFonts w:asciiTheme="minorHAnsi" w:eastAsia="Times New Roman" w:hAnsiTheme="minorHAnsi" w:cstheme="minorHAnsi"/>
                <w:smallCaps/>
                <w:color w:val="000000"/>
                <w:sz w:val="18"/>
                <w:szCs w:val="18"/>
                <w:lang w:val="en-GB" w:eastAsia="en-GB"/>
              </w:rPr>
              <w:t>Annual GHG Emission reductions Scenario 3 compared to Base Line 2014 (tCO2e)</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SITRAMSS 3 (2014)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bCs/>
                <w:color w:val="000000"/>
                <w:sz w:val="18"/>
                <w:szCs w:val="18"/>
                <w:lang w:val="en-GB" w:eastAsia="en-GB"/>
              </w:rPr>
            </w:pPr>
            <w:r w:rsidRPr="00896D11">
              <w:rPr>
                <w:rFonts w:asciiTheme="minorHAnsi" w:eastAsia="Times New Roman" w:hAnsiTheme="minorHAnsi" w:cstheme="minorHAnsi"/>
                <w:bCs/>
                <w:color w:val="000000"/>
                <w:sz w:val="18"/>
                <w:szCs w:val="18"/>
                <w:lang w:val="en-GB" w:eastAsia="en-GB"/>
              </w:rPr>
              <w:t>17,363</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17,296</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17,229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17,163</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17,097</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17,029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16,963</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16,896</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16,828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16,761</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170,625</w:t>
            </w:r>
          </w:p>
        </w:tc>
      </w:tr>
      <w:tr w:rsidR="00896D11" w:rsidRPr="00896D11" w:rsidTr="00896D11">
        <w:trPr>
          <w:trHeight w:val="240"/>
        </w:trPr>
        <w:tc>
          <w:tcPr>
            <w:tcW w:w="13603" w:type="dxa"/>
            <w:gridSpan w:val="12"/>
            <w:shd w:val="clear" w:color="auto" w:fill="F2F2F2" w:themeFill="background1" w:themeFillShade="F2"/>
            <w:noWrap/>
            <w:vAlign w:val="center"/>
          </w:tcPr>
          <w:p w:rsidR="00896D11" w:rsidRPr="00896D11" w:rsidRDefault="006003E6" w:rsidP="00896D11">
            <w:pPr>
              <w:spacing w:after="0"/>
              <w:jc w:val="center"/>
              <w:rPr>
                <w:rFonts w:asciiTheme="minorHAnsi" w:eastAsia="Times New Roman" w:hAnsiTheme="minorHAnsi" w:cstheme="minorHAnsi"/>
                <w:smallCaps/>
                <w:color w:val="000000"/>
                <w:sz w:val="18"/>
                <w:szCs w:val="18"/>
                <w:lang w:val="en-GB" w:eastAsia="en-GB"/>
              </w:rPr>
            </w:pPr>
            <w:r>
              <w:rPr>
                <w:rFonts w:asciiTheme="minorHAnsi" w:eastAsia="Times New Roman" w:hAnsiTheme="minorHAnsi" w:cstheme="minorHAnsi"/>
                <w:smallCaps/>
                <w:color w:val="000000"/>
                <w:sz w:val="18"/>
                <w:szCs w:val="18"/>
                <w:lang w:val="en-GB" w:eastAsia="en-GB"/>
              </w:rPr>
              <w:t>Con</w:t>
            </w:r>
            <w:r w:rsidR="00896D11" w:rsidRPr="00896D11">
              <w:rPr>
                <w:rFonts w:asciiTheme="minorHAnsi" w:eastAsia="Times New Roman" w:hAnsiTheme="minorHAnsi" w:cstheme="minorHAnsi"/>
                <w:smallCaps/>
                <w:color w:val="000000"/>
                <w:sz w:val="18"/>
                <w:szCs w:val="18"/>
                <w:lang w:val="en-GB" w:eastAsia="en-GB"/>
              </w:rPr>
              <w:t>tribution of Annual GHG Emission Reductions per route compared to Base Line 2014 (tCO2e)</w:t>
            </w:r>
          </w:p>
        </w:tc>
      </w:tr>
      <w:tr w:rsidR="00896D11" w:rsidRPr="00896D11" w:rsidTr="006003E6">
        <w:trPr>
          <w:trHeight w:val="240"/>
        </w:trPr>
        <w:tc>
          <w:tcPr>
            <w:tcW w:w="2405" w:type="dxa"/>
            <w:shd w:val="clear" w:color="auto" w:fill="auto"/>
            <w:noWrap/>
            <w:vAlign w:val="center"/>
            <w:hideMark/>
          </w:tcPr>
          <w:p w:rsidR="00896D11" w:rsidRPr="00896D11" w:rsidRDefault="00896D11" w:rsidP="006003E6">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 xml:space="preserve">SITRAMSS route </w:t>
            </w:r>
            <w:r w:rsidR="006003E6">
              <w:rPr>
                <w:rFonts w:asciiTheme="minorHAnsi" w:eastAsia="Times New Roman" w:hAnsiTheme="minorHAnsi" w:cstheme="minorHAnsi"/>
                <w:color w:val="000000"/>
                <w:sz w:val="18"/>
                <w:szCs w:val="18"/>
                <w:lang w:val="en-GB" w:eastAsia="en-GB"/>
              </w:rPr>
              <w:t>T1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2,224</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2,302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2,428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2,622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2,629</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2,635</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2,641</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2,648</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2,654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2,660</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25,443</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SITRAMSS feeders T2, P1, P2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8,086</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8,370</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8,829</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9,536</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9,559</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9,582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9,605</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9,627</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9,651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9,674</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92,519</w:t>
            </w:r>
          </w:p>
        </w:tc>
      </w:tr>
      <w:tr w:rsidR="00896D11" w:rsidRPr="00896D11" w:rsidTr="006003E6">
        <w:trPr>
          <w:trHeight w:val="240"/>
        </w:trPr>
        <w:tc>
          <w:tcPr>
            <w:tcW w:w="2405"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sz w:val="18"/>
                <w:szCs w:val="18"/>
                <w:lang w:val="en-GB" w:eastAsia="en-GB"/>
              </w:rPr>
            </w:pPr>
            <w:r w:rsidRPr="00896D11">
              <w:rPr>
                <w:rFonts w:asciiTheme="minorHAnsi" w:eastAsia="Times New Roman" w:hAnsiTheme="minorHAnsi" w:cstheme="minorHAnsi"/>
                <w:sz w:val="18"/>
                <w:szCs w:val="18"/>
                <w:lang w:val="en-GB" w:eastAsia="en-GB"/>
              </w:rPr>
              <w:t>Conventional bus reductions</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bCs/>
                <w:color w:val="000000"/>
                <w:sz w:val="18"/>
                <w:szCs w:val="18"/>
                <w:lang w:val="en-GB" w:eastAsia="en-GB"/>
              </w:rPr>
            </w:pPr>
            <w:r w:rsidRPr="00896D11">
              <w:rPr>
                <w:rFonts w:asciiTheme="minorHAnsi" w:eastAsia="Times New Roman" w:hAnsiTheme="minorHAnsi" w:cstheme="minorHAnsi"/>
                <w:bCs/>
                <w:color w:val="000000"/>
                <w:sz w:val="18"/>
                <w:szCs w:val="18"/>
                <w:lang w:val="en-GB" w:eastAsia="en-GB"/>
              </w:rPr>
              <w:t>7,053</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6,624</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5,972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5,005</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4,909</w:t>
            </w:r>
          </w:p>
        </w:tc>
        <w:tc>
          <w:tcPr>
            <w:tcW w:w="993"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4,812</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4,717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4,621</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4,523</w:t>
            </w:r>
          </w:p>
        </w:tc>
        <w:tc>
          <w:tcPr>
            <w:tcW w:w="992"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color w:val="000000"/>
                <w:sz w:val="18"/>
                <w:szCs w:val="18"/>
                <w:lang w:val="en-GB" w:eastAsia="en-GB"/>
              </w:rPr>
            </w:pPr>
            <w:r w:rsidRPr="00896D11">
              <w:rPr>
                <w:rFonts w:asciiTheme="minorHAnsi" w:eastAsia="Times New Roman" w:hAnsiTheme="minorHAnsi" w:cstheme="minorHAnsi"/>
                <w:color w:val="000000"/>
                <w:sz w:val="18"/>
                <w:szCs w:val="18"/>
                <w:lang w:val="en-GB" w:eastAsia="en-GB"/>
              </w:rPr>
              <w:t>4,427</w:t>
            </w:r>
          </w:p>
        </w:tc>
        <w:tc>
          <w:tcPr>
            <w:tcW w:w="1134" w:type="dxa"/>
            <w:shd w:val="clear" w:color="auto" w:fill="auto"/>
            <w:noWrap/>
            <w:vAlign w:val="center"/>
            <w:hideMark/>
          </w:tcPr>
          <w:p w:rsidR="00896D11" w:rsidRPr="00896D11" w:rsidRDefault="00896D11" w:rsidP="00896D11">
            <w:pPr>
              <w:spacing w:after="0"/>
              <w:jc w:val="center"/>
              <w:rPr>
                <w:rFonts w:asciiTheme="minorHAnsi" w:eastAsia="Times New Roman" w:hAnsiTheme="minorHAnsi" w:cstheme="minorHAnsi"/>
                <w:bCs/>
                <w:color w:val="000000"/>
                <w:sz w:val="18"/>
                <w:szCs w:val="18"/>
                <w:lang w:val="en-GB" w:eastAsia="en-GB"/>
              </w:rPr>
            </w:pPr>
            <w:r w:rsidRPr="00896D11">
              <w:rPr>
                <w:rFonts w:asciiTheme="minorHAnsi" w:eastAsia="Times New Roman" w:hAnsiTheme="minorHAnsi" w:cstheme="minorHAnsi"/>
                <w:bCs/>
                <w:color w:val="000000"/>
                <w:sz w:val="18"/>
                <w:szCs w:val="18"/>
                <w:lang w:val="en-GB" w:eastAsia="en-GB"/>
              </w:rPr>
              <w:t>52,663</w:t>
            </w:r>
          </w:p>
        </w:tc>
      </w:tr>
    </w:tbl>
    <w:p w:rsidR="00445D35" w:rsidRDefault="00445D35" w:rsidP="00AE4B81">
      <w:pPr>
        <w:rPr>
          <w:szCs w:val="22"/>
        </w:rPr>
      </w:pPr>
    </w:p>
    <w:p w:rsidR="00445D35" w:rsidRDefault="00445D35" w:rsidP="00AE4B81">
      <w:pPr>
        <w:rPr>
          <w:szCs w:val="22"/>
        </w:rPr>
      </w:pPr>
    </w:p>
    <w:p w:rsidR="00445D35" w:rsidRDefault="00445D35" w:rsidP="00AE4B81">
      <w:pPr>
        <w:rPr>
          <w:szCs w:val="22"/>
        </w:rPr>
      </w:pPr>
    </w:p>
    <w:p w:rsidR="00445D35" w:rsidRDefault="00445D35" w:rsidP="00AE4B81">
      <w:pPr>
        <w:rPr>
          <w:szCs w:val="22"/>
        </w:rPr>
        <w:sectPr w:rsidR="00445D35" w:rsidSect="00445D35">
          <w:pgSz w:w="16838" w:h="11906" w:orient="landscape"/>
          <w:pgMar w:top="1440" w:right="1440" w:bottom="1440" w:left="1440" w:header="708" w:footer="708" w:gutter="0"/>
          <w:cols w:space="708"/>
          <w:docGrid w:linePitch="360"/>
        </w:sectPr>
      </w:pPr>
    </w:p>
    <w:p w:rsidR="00445D35" w:rsidRDefault="00223758" w:rsidP="00AE4B81">
      <w:pPr>
        <w:rPr>
          <w:szCs w:val="22"/>
        </w:rPr>
      </w:pPr>
      <w:r>
        <w:rPr>
          <w:szCs w:val="22"/>
        </w:rPr>
        <w:t>Based on the 2012 data, it is possible to estimate the annual fuel consumption under the Baseline 2014 and the alternative scenario SITRAMSS 3. Specific fuel consumption values are defined as in the table below.</w:t>
      </w:r>
    </w:p>
    <w:p w:rsidR="00AE4B81" w:rsidRDefault="00AE4B81" w:rsidP="00AE4B81">
      <w:pPr>
        <w:rPr>
          <w:szCs w:val="22"/>
        </w:rPr>
      </w:pPr>
    </w:p>
    <w:tbl>
      <w:tblPr>
        <w:tblW w:w="8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2336"/>
        <w:gridCol w:w="976"/>
        <w:gridCol w:w="1256"/>
        <w:gridCol w:w="1256"/>
        <w:gridCol w:w="1173"/>
        <w:gridCol w:w="1276"/>
      </w:tblGrid>
      <w:tr w:rsidR="00D9553A" w:rsidRPr="00D9553A" w:rsidTr="00823A79">
        <w:trPr>
          <w:trHeight w:val="240"/>
        </w:trPr>
        <w:tc>
          <w:tcPr>
            <w:tcW w:w="8273" w:type="dxa"/>
            <w:gridSpan w:val="6"/>
            <w:shd w:val="clear" w:color="auto" w:fill="D9D9D9" w:themeFill="background1" w:themeFillShade="D9"/>
            <w:noWrap/>
            <w:vAlign w:val="center"/>
            <w:hideMark/>
          </w:tcPr>
          <w:p w:rsidR="00D9553A" w:rsidRPr="00D9553A" w:rsidRDefault="00D9553A" w:rsidP="00D9553A">
            <w:pPr>
              <w:spacing w:after="0"/>
              <w:jc w:val="center"/>
              <w:rPr>
                <w:rFonts w:ascii="Times New Roman" w:eastAsia="Times New Roman" w:hAnsi="Times New Roman"/>
                <w:smallCaps/>
                <w:szCs w:val="20"/>
                <w:lang w:val="en-GB" w:eastAsia="en-GB"/>
              </w:rPr>
            </w:pPr>
            <w:r w:rsidRPr="00D9553A">
              <w:rPr>
                <w:rFonts w:eastAsia="Times New Roman" w:cs="Calibri"/>
                <w:smallCaps/>
                <w:color w:val="000000"/>
                <w:szCs w:val="18"/>
                <w:lang w:val="en-GB" w:eastAsia="en-GB"/>
              </w:rPr>
              <w:t>SITRAMS</w:t>
            </w:r>
            <w:r>
              <w:rPr>
                <w:rFonts w:eastAsia="Times New Roman" w:cs="Calibri"/>
                <w:smallCaps/>
                <w:color w:val="000000"/>
                <w:szCs w:val="18"/>
                <w:lang w:val="en-GB" w:eastAsia="en-GB"/>
              </w:rPr>
              <w:t>S</w:t>
            </w:r>
            <w:r w:rsidRPr="00D9553A">
              <w:rPr>
                <w:rFonts w:eastAsia="Times New Roman" w:cs="Calibri"/>
                <w:smallCaps/>
                <w:color w:val="000000"/>
                <w:szCs w:val="18"/>
                <w:lang w:val="en-GB" w:eastAsia="en-GB"/>
              </w:rPr>
              <w:t xml:space="preserve"> </w:t>
            </w:r>
            <w:r>
              <w:rPr>
                <w:rFonts w:eastAsia="Times New Roman" w:cs="Calibri"/>
                <w:smallCaps/>
                <w:color w:val="000000"/>
                <w:szCs w:val="18"/>
                <w:lang w:val="en-GB" w:eastAsia="en-GB"/>
              </w:rPr>
              <w:t>– Fuel consumption under 2014 and Alternative S</w:t>
            </w:r>
            <w:r w:rsidRPr="00D9553A">
              <w:rPr>
                <w:rFonts w:eastAsia="Times New Roman" w:cs="Calibri"/>
                <w:smallCaps/>
                <w:color w:val="000000"/>
                <w:szCs w:val="18"/>
                <w:lang w:val="en-GB" w:eastAsia="en-GB"/>
              </w:rPr>
              <w:t>cenarios</w:t>
            </w:r>
          </w:p>
        </w:tc>
      </w:tr>
      <w:tr w:rsidR="00D9553A" w:rsidRPr="00D9553A" w:rsidTr="00D9553A">
        <w:trPr>
          <w:trHeight w:val="240"/>
        </w:trPr>
        <w:tc>
          <w:tcPr>
            <w:tcW w:w="2336" w:type="dxa"/>
            <w:vMerge w:val="restart"/>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Cs w:val="18"/>
                <w:lang w:val="en-GB" w:eastAsia="en-GB"/>
              </w:rPr>
              <w:t>Vehicle type</w:t>
            </w:r>
          </w:p>
        </w:tc>
        <w:tc>
          <w:tcPr>
            <w:tcW w:w="97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Number</w:t>
            </w:r>
          </w:p>
        </w:tc>
        <w:tc>
          <w:tcPr>
            <w:tcW w:w="125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total distance</w:t>
            </w:r>
          </w:p>
        </w:tc>
        <w:tc>
          <w:tcPr>
            <w:tcW w:w="125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total per unit</w:t>
            </w:r>
          </w:p>
        </w:tc>
        <w:tc>
          <w:tcPr>
            <w:tcW w:w="1173"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Specific fuel use</w:t>
            </w:r>
          </w:p>
        </w:tc>
        <w:tc>
          <w:tcPr>
            <w:tcW w:w="127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Annual fuel use</w:t>
            </w:r>
          </w:p>
        </w:tc>
      </w:tr>
      <w:tr w:rsidR="00D9553A" w:rsidRPr="00D9553A" w:rsidTr="00D9553A">
        <w:trPr>
          <w:trHeight w:val="240"/>
        </w:trPr>
        <w:tc>
          <w:tcPr>
            <w:tcW w:w="2336" w:type="dxa"/>
            <w:vMerge/>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p>
        </w:tc>
        <w:tc>
          <w:tcPr>
            <w:tcW w:w="97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w:t>
            </w:r>
          </w:p>
        </w:tc>
        <w:tc>
          <w:tcPr>
            <w:tcW w:w="125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(km/yr)</w:t>
            </w:r>
          </w:p>
        </w:tc>
        <w:tc>
          <w:tcPr>
            <w:tcW w:w="125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(km/yr)</w:t>
            </w:r>
          </w:p>
        </w:tc>
        <w:tc>
          <w:tcPr>
            <w:tcW w:w="1173"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(l/km)</w:t>
            </w:r>
          </w:p>
        </w:tc>
        <w:tc>
          <w:tcPr>
            <w:tcW w:w="1276" w:type="dxa"/>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(l/yr)</w:t>
            </w:r>
          </w:p>
        </w:tc>
      </w:tr>
      <w:tr w:rsidR="00D9553A" w:rsidRPr="00D9553A" w:rsidTr="00D9553A">
        <w:trPr>
          <w:trHeight w:val="240"/>
        </w:trPr>
        <w:tc>
          <w:tcPr>
            <w:tcW w:w="8273" w:type="dxa"/>
            <w:gridSpan w:val="6"/>
            <w:shd w:val="clear" w:color="auto" w:fill="F2F2F2" w:themeFill="background1" w:themeFillShade="F2"/>
            <w:noWrap/>
            <w:vAlign w:val="center"/>
          </w:tcPr>
          <w:p w:rsidR="00D9553A" w:rsidRPr="00D9553A" w:rsidRDefault="00D9553A" w:rsidP="00D9553A">
            <w:pPr>
              <w:spacing w:after="0"/>
              <w:jc w:val="center"/>
              <w:rPr>
                <w:rFonts w:ascii="Times New Roman" w:eastAsia="Times New Roman" w:hAnsi="Times New Roman"/>
                <w:smallCaps/>
                <w:szCs w:val="20"/>
                <w:lang w:val="en-GB" w:eastAsia="en-GB"/>
              </w:rPr>
            </w:pPr>
            <w:r>
              <w:rPr>
                <w:rFonts w:eastAsia="Times New Roman" w:cs="Calibri"/>
                <w:smallCaps/>
                <w:color w:val="000000"/>
                <w:sz w:val="18"/>
                <w:szCs w:val="18"/>
                <w:lang w:val="en-GB" w:eastAsia="en-GB"/>
              </w:rPr>
              <w:t>Annual Diesel Fuel Consumption</w:t>
            </w:r>
            <w:r w:rsidRPr="00D9553A">
              <w:rPr>
                <w:rFonts w:eastAsia="Times New Roman" w:cs="Calibri"/>
                <w:smallCaps/>
                <w:color w:val="000000"/>
                <w:sz w:val="18"/>
                <w:szCs w:val="18"/>
                <w:lang w:val="en-GB" w:eastAsia="en-GB"/>
              </w:rPr>
              <w:t>2014 Baseline</w:t>
            </w:r>
          </w:p>
        </w:tc>
      </w:tr>
      <w:tr w:rsidR="00D9553A" w:rsidRPr="00D9553A" w:rsidTr="00D9553A">
        <w:trPr>
          <w:trHeight w:val="240"/>
        </w:trPr>
        <w:tc>
          <w:tcPr>
            <w:tcW w:w="233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Buses</w:t>
            </w:r>
          </w:p>
        </w:tc>
        <w:tc>
          <w:tcPr>
            <w:tcW w:w="97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649</w:t>
            </w:r>
          </w:p>
        </w:tc>
        <w:tc>
          <w:tcPr>
            <w:tcW w:w="125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26,566,815</w:t>
            </w:r>
          </w:p>
        </w:tc>
        <w:tc>
          <w:tcPr>
            <w:tcW w:w="125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40,935</w:t>
            </w:r>
          </w:p>
        </w:tc>
        <w:tc>
          <w:tcPr>
            <w:tcW w:w="1173"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0.32</w:t>
            </w:r>
          </w:p>
        </w:tc>
        <w:tc>
          <w:tcPr>
            <w:tcW w:w="127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8,501,381</w:t>
            </w:r>
          </w:p>
        </w:tc>
      </w:tr>
      <w:tr w:rsidR="00D9553A" w:rsidRPr="00D9553A" w:rsidTr="00D9553A">
        <w:trPr>
          <w:trHeight w:val="240"/>
        </w:trPr>
        <w:tc>
          <w:tcPr>
            <w:tcW w:w="233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Microbuses</w:t>
            </w:r>
          </w:p>
        </w:tc>
        <w:tc>
          <w:tcPr>
            <w:tcW w:w="97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493</w:t>
            </w:r>
          </w:p>
        </w:tc>
        <w:tc>
          <w:tcPr>
            <w:tcW w:w="125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33,851,312</w:t>
            </w:r>
          </w:p>
        </w:tc>
        <w:tc>
          <w:tcPr>
            <w:tcW w:w="125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68,664</w:t>
            </w:r>
          </w:p>
        </w:tc>
        <w:tc>
          <w:tcPr>
            <w:tcW w:w="1173"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0.25</w:t>
            </w:r>
          </w:p>
        </w:tc>
        <w:tc>
          <w:tcPr>
            <w:tcW w:w="1276" w:type="dxa"/>
            <w:shd w:val="clear" w:color="auto" w:fill="auto"/>
            <w:noWrap/>
            <w:vAlign w:val="center"/>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8,462,828</w:t>
            </w:r>
          </w:p>
        </w:tc>
      </w:tr>
      <w:tr w:rsidR="00D9553A" w:rsidRPr="00D9553A" w:rsidTr="00D9553A">
        <w:trPr>
          <w:trHeight w:val="240"/>
        </w:trPr>
        <w:tc>
          <w:tcPr>
            <w:tcW w:w="2336" w:type="dxa"/>
            <w:shd w:val="clear" w:color="auto" w:fill="auto"/>
            <w:noWrap/>
            <w:vAlign w:val="center"/>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TOTAL</w:t>
            </w:r>
          </w:p>
        </w:tc>
        <w:tc>
          <w:tcPr>
            <w:tcW w:w="976" w:type="dxa"/>
            <w:shd w:val="clear" w:color="auto" w:fill="auto"/>
            <w:noWrap/>
            <w:vAlign w:val="center"/>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1,142</w:t>
            </w:r>
          </w:p>
        </w:tc>
        <w:tc>
          <w:tcPr>
            <w:tcW w:w="1256" w:type="dxa"/>
            <w:shd w:val="clear" w:color="auto" w:fill="auto"/>
            <w:noWrap/>
            <w:vAlign w:val="center"/>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60,418,127</w:t>
            </w:r>
          </w:p>
        </w:tc>
        <w:tc>
          <w:tcPr>
            <w:tcW w:w="1256" w:type="dxa"/>
            <w:shd w:val="clear" w:color="auto" w:fill="auto"/>
            <w:noWrap/>
            <w:vAlign w:val="center"/>
          </w:tcPr>
          <w:p w:rsidR="00D9553A" w:rsidRPr="00D9553A" w:rsidRDefault="00D9553A" w:rsidP="00D9553A">
            <w:pPr>
              <w:spacing w:after="0"/>
              <w:jc w:val="center"/>
              <w:rPr>
                <w:rFonts w:eastAsia="Times New Roman" w:cs="Calibri"/>
                <w:bCs/>
                <w:color w:val="000000"/>
                <w:sz w:val="18"/>
                <w:szCs w:val="18"/>
                <w:lang w:val="en-GB" w:eastAsia="en-GB"/>
              </w:rPr>
            </w:pPr>
          </w:p>
        </w:tc>
        <w:tc>
          <w:tcPr>
            <w:tcW w:w="1173" w:type="dxa"/>
            <w:shd w:val="clear" w:color="auto" w:fill="auto"/>
            <w:noWrap/>
            <w:vAlign w:val="center"/>
          </w:tcPr>
          <w:p w:rsidR="00D9553A" w:rsidRPr="00D9553A" w:rsidRDefault="00D9553A" w:rsidP="00D9553A">
            <w:pPr>
              <w:spacing w:after="0"/>
              <w:jc w:val="center"/>
              <w:rPr>
                <w:rFonts w:ascii="Times New Roman" w:eastAsia="Times New Roman" w:hAnsi="Times New Roman"/>
                <w:szCs w:val="20"/>
                <w:lang w:val="en-GB" w:eastAsia="en-GB"/>
              </w:rPr>
            </w:pPr>
          </w:p>
        </w:tc>
        <w:tc>
          <w:tcPr>
            <w:tcW w:w="1276" w:type="dxa"/>
            <w:shd w:val="clear" w:color="auto" w:fill="auto"/>
            <w:noWrap/>
            <w:vAlign w:val="center"/>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16,964,209</w:t>
            </w:r>
          </w:p>
        </w:tc>
      </w:tr>
      <w:tr w:rsidR="00D9553A" w:rsidRPr="00D9553A" w:rsidTr="00D9553A">
        <w:trPr>
          <w:trHeight w:val="240"/>
        </w:trPr>
        <w:tc>
          <w:tcPr>
            <w:tcW w:w="8273" w:type="dxa"/>
            <w:gridSpan w:val="6"/>
            <w:shd w:val="clear" w:color="auto" w:fill="F2F2F2" w:themeFill="background1" w:themeFillShade="F2"/>
            <w:noWrap/>
            <w:vAlign w:val="center"/>
          </w:tcPr>
          <w:p w:rsidR="00D9553A" w:rsidRPr="00D9553A" w:rsidRDefault="00D9553A" w:rsidP="00D9553A">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 xml:space="preserve">Annual Diesel Fuel consumption under </w:t>
            </w:r>
            <w:r w:rsidRPr="00D9553A">
              <w:rPr>
                <w:rFonts w:eastAsia="Times New Roman" w:cs="Calibri"/>
                <w:smallCaps/>
                <w:color w:val="000000"/>
                <w:sz w:val="18"/>
                <w:szCs w:val="18"/>
                <w:lang w:val="en-GB" w:eastAsia="en-GB"/>
              </w:rPr>
              <w:t>SITRAMSS 3 Scenario (2014)</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articulated (T1)</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27</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1,657,049</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61,372</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0.5</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828,525</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short (T2, P1, P2)</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138</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8,142,468</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59,003</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0.37</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3,012,713</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Re-used buses</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340</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11,834,172</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34,806</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0.32</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3,786,935</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Re-used microbuses</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332</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11,370,087</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34,247</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0.25</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2,842,522</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TOTAL</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837</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33,003,776</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p>
        </w:tc>
        <w:tc>
          <w:tcPr>
            <w:tcW w:w="1173"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p>
        </w:tc>
        <w:tc>
          <w:tcPr>
            <w:tcW w:w="127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10,470,694</w:t>
            </w:r>
          </w:p>
        </w:tc>
      </w:tr>
      <w:tr w:rsidR="00D9553A" w:rsidRPr="00D9553A" w:rsidTr="00823A79">
        <w:trPr>
          <w:trHeight w:val="240"/>
        </w:trPr>
        <w:tc>
          <w:tcPr>
            <w:tcW w:w="8273" w:type="dxa"/>
            <w:gridSpan w:val="6"/>
            <w:shd w:val="clear" w:color="auto" w:fill="auto"/>
            <w:noWrap/>
            <w:vAlign w:val="center"/>
            <w:hideMark/>
          </w:tcPr>
          <w:p w:rsidR="00D9553A" w:rsidRPr="00D9553A" w:rsidRDefault="00D9553A" w:rsidP="00D9553A">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Idem</w:t>
            </w:r>
            <w:r w:rsidRPr="00D9553A">
              <w:rPr>
                <w:rFonts w:eastAsia="Times New Roman" w:cs="Calibri"/>
                <w:smallCaps/>
                <w:color w:val="000000"/>
                <w:sz w:val="18"/>
                <w:szCs w:val="18"/>
                <w:lang w:val="en-GB" w:eastAsia="en-GB"/>
              </w:rPr>
              <w:t>, per SITRAMSS Feeder Route (2014)</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T2</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36</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2,701,514</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75,042</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0.37</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999,560</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P1</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61</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3,346,616</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54,863</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0.37</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1,238,248</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P2</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41</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2,094,338</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51,081</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0.37</w:t>
            </w:r>
          </w:p>
        </w:tc>
        <w:tc>
          <w:tcPr>
            <w:tcW w:w="1276" w:type="dxa"/>
            <w:shd w:val="clear" w:color="auto" w:fill="auto"/>
            <w:noWrap/>
            <w:vAlign w:val="center"/>
            <w:hideMark/>
          </w:tcPr>
          <w:p w:rsidR="00D9553A" w:rsidRPr="00D9553A" w:rsidRDefault="00D9553A"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774,905</w:t>
            </w:r>
          </w:p>
        </w:tc>
      </w:tr>
      <w:tr w:rsidR="00D9553A" w:rsidRPr="00D9553A" w:rsidTr="00D9553A">
        <w:trPr>
          <w:trHeight w:val="240"/>
        </w:trPr>
        <w:tc>
          <w:tcPr>
            <w:tcW w:w="233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TOTAL</w:t>
            </w:r>
          </w:p>
        </w:tc>
        <w:tc>
          <w:tcPr>
            <w:tcW w:w="97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138</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8,142,468</w:t>
            </w:r>
          </w:p>
        </w:tc>
        <w:tc>
          <w:tcPr>
            <w:tcW w:w="125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59,003</w:t>
            </w:r>
          </w:p>
        </w:tc>
        <w:tc>
          <w:tcPr>
            <w:tcW w:w="1173"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p>
        </w:tc>
        <w:tc>
          <w:tcPr>
            <w:tcW w:w="1276" w:type="dxa"/>
            <w:shd w:val="clear" w:color="auto" w:fill="auto"/>
            <w:noWrap/>
            <w:vAlign w:val="center"/>
            <w:hideMark/>
          </w:tcPr>
          <w:p w:rsidR="00D9553A" w:rsidRPr="00D9553A" w:rsidRDefault="00D9553A"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3,012,713</w:t>
            </w:r>
          </w:p>
        </w:tc>
      </w:tr>
      <w:tr w:rsidR="00D9553A" w:rsidRPr="00D9553A" w:rsidTr="00C67223">
        <w:trPr>
          <w:trHeight w:val="240"/>
        </w:trPr>
        <w:tc>
          <w:tcPr>
            <w:tcW w:w="8273" w:type="dxa"/>
            <w:gridSpan w:val="6"/>
            <w:shd w:val="clear" w:color="auto" w:fill="D9D9D9" w:themeFill="background1" w:themeFillShade="D9"/>
            <w:noWrap/>
            <w:vAlign w:val="center"/>
            <w:hideMark/>
          </w:tcPr>
          <w:p w:rsidR="00D9553A" w:rsidRPr="00D9553A" w:rsidRDefault="00D9553A" w:rsidP="00D9553A">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 xml:space="preserve">Annual Fuel Savings under </w:t>
            </w:r>
            <w:r w:rsidRPr="00D9553A">
              <w:rPr>
                <w:rFonts w:eastAsia="Times New Roman" w:cs="Calibri"/>
                <w:smallCaps/>
                <w:color w:val="000000"/>
                <w:sz w:val="18"/>
                <w:szCs w:val="18"/>
                <w:lang w:val="en-GB" w:eastAsia="en-GB"/>
              </w:rPr>
              <w:t>SITRAMSS 3 Scenario (2014)</w:t>
            </w:r>
          </w:p>
        </w:tc>
      </w:tr>
      <w:tr w:rsidR="00C67223" w:rsidRPr="00D9553A" w:rsidTr="00823A79">
        <w:trPr>
          <w:trHeight w:val="240"/>
        </w:trPr>
        <w:tc>
          <w:tcPr>
            <w:tcW w:w="6997" w:type="dxa"/>
            <w:gridSpan w:val="5"/>
            <w:shd w:val="clear" w:color="auto" w:fill="auto"/>
            <w:noWrap/>
            <w:vAlign w:val="center"/>
            <w:hideMark/>
          </w:tcPr>
          <w:p w:rsidR="00C67223" w:rsidRPr="00C67223" w:rsidRDefault="00C67223" w:rsidP="00D9553A">
            <w:pPr>
              <w:spacing w:after="0"/>
              <w:jc w:val="center"/>
              <w:rPr>
                <w:rFonts w:ascii="Times New Roman" w:eastAsia="Times New Roman" w:hAnsi="Times New Roman"/>
                <w:szCs w:val="20"/>
                <w:lang w:eastAsia="en-GB"/>
              </w:rPr>
            </w:pPr>
            <w:r w:rsidRPr="00D9553A">
              <w:rPr>
                <w:rFonts w:eastAsia="Times New Roman" w:cs="Calibri"/>
                <w:color w:val="000000"/>
                <w:sz w:val="18"/>
                <w:szCs w:val="18"/>
                <w:lang w:val="en-GB" w:eastAsia="en-GB"/>
              </w:rPr>
              <w:t>Fuel savings</w:t>
            </w:r>
            <w:r>
              <w:rPr>
                <w:rFonts w:eastAsia="Times New Roman" w:cs="Calibri"/>
                <w:color w:val="000000"/>
                <w:sz w:val="18"/>
                <w:szCs w:val="18"/>
                <w:lang w:val="en-GB" w:eastAsia="en-GB"/>
              </w:rPr>
              <w:t xml:space="preserve"> (l/yr)</w:t>
            </w:r>
          </w:p>
        </w:tc>
        <w:tc>
          <w:tcPr>
            <w:tcW w:w="1276" w:type="dxa"/>
            <w:shd w:val="clear" w:color="auto" w:fill="auto"/>
            <w:noWrap/>
            <w:vAlign w:val="center"/>
            <w:hideMark/>
          </w:tcPr>
          <w:p w:rsidR="00C67223" w:rsidRPr="00D9553A" w:rsidRDefault="00C67223" w:rsidP="00D9553A">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6,493,514</w:t>
            </w:r>
          </w:p>
        </w:tc>
      </w:tr>
      <w:tr w:rsidR="00C67223" w:rsidRPr="00D9553A" w:rsidTr="00823A79">
        <w:trPr>
          <w:trHeight w:val="240"/>
        </w:trPr>
        <w:tc>
          <w:tcPr>
            <w:tcW w:w="6997" w:type="dxa"/>
            <w:gridSpan w:val="5"/>
            <w:shd w:val="clear" w:color="auto" w:fill="auto"/>
            <w:noWrap/>
            <w:vAlign w:val="center"/>
            <w:hideMark/>
          </w:tcPr>
          <w:p w:rsidR="00C67223" w:rsidRPr="00D9553A" w:rsidRDefault="00C67223" w:rsidP="00D9553A">
            <w:pPr>
              <w:spacing w:after="0"/>
              <w:jc w:val="center"/>
              <w:rPr>
                <w:rFonts w:ascii="Times New Roman" w:eastAsia="Times New Roman" w:hAnsi="Times New Roman"/>
                <w:szCs w:val="20"/>
                <w:lang w:val="en-GB" w:eastAsia="en-GB"/>
              </w:rPr>
            </w:pPr>
            <w:r w:rsidRPr="00D9553A">
              <w:rPr>
                <w:rFonts w:eastAsia="Times New Roman" w:cs="Calibri"/>
                <w:color w:val="000000"/>
                <w:sz w:val="18"/>
                <w:szCs w:val="18"/>
                <w:lang w:val="en-GB" w:eastAsia="en-GB"/>
              </w:rPr>
              <w:t>Monetary savings</w:t>
            </w:r>
            <w:r>
              <w:rPr>
                <w:rFonts w:eastAsia="Times New Roman" w:cs="Calibri"/>
                <w:color w:val="000000"/>
                <w:sz w:val="18"/>
                <w:szCs w:val="18"/>
                <w:lang w:val="en-GB" w:eastAsia="en-GB"/>
              </w:rPr>
              <w:t xml:space="preserve"> (US$/yr)</w:t>
            </w:r>
            <w:r w:rsidR="001851AA">
              <w:rPr>
                <w:rFonts w:eastAsia="Times New Roman" w:cs="Calibri"/>
                <w:color w:val="000000"/>
                <w:sz w:val="18"/>
                <w:szCs w:val="18"/>
                <w:lang w:val="en-GB" w:eastAsia="en-GB"/>
              </w:rPr>
              <w:t xml:space="preserve"> (@ 0.93 USD/l)</w:t>
            </w:r>
          </w:p>
        </w:tc>
        <w:tc>
          <w:tcPr>
            <w:tcW w:w="1276" w:type="dxa"/>
            <w:shd w:val="clear" w:color="auto" w:fill="auto"/>
            <w:noWrap/>
            <w:vAlign w:val="center"/>
            <w:hideMark/>
          </w:tcPr>
          <w:p w:rsidR="00C67223" w:rsidRPr="00D9553A" w:rsidRDefault="00C67223" w:rsidP="00D9553A">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6,046,871</w:t>
            </w:r>
          </w:p>
        </w:tc>
      </w:tr>
      <w:tr w:rsidR="00C67223" w:rsidRPr="00D9553A" w:rsidTr="00C67223">
        <w:trPr>
          <w:trHeight w:val="240"/>
        </w:trPr>
        <w:tc>
          <w:tcPr>
            <w:tcW w:w="8273" w:type="dxa"/>
            <w:gridSpan w:val="6"/>
            <w:shd w:val="clear" w:color="auto" w:fill="D9D9D9" w:themeFill="background1" w:themeFillShade="D9"/>
            <w:noWrap/>
            <w:vAlign w:val="center"/>
            <w:hideMark/>
          </w:tcPr>
          <w:p w:rsidR="00C67223" w:rsidRPr="00D9553A" w:rsidRDefault="00C67223" w:rsidP="00C67223">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 xml:space="preserve">Annual GHG Emission Reductions  under </w:t>
            </w:r>
            <w:r w:rsidRPr="00D9553A">
              <w:rPr>
                <w:rFonts w:eastAsia="Times New Roman" w:cs="Calibri"/>
                <w:smallCaps/>
                <w:color w:val="000000"/>
                <w:sz w:val="18"/>
                <w:szCs w:val="18"/>
                <w:lang w:val="en-GB" w:eastAsia="en-GB"/>
              </w:rPr>
              <w:t>SITRAMSS 3 Scenario (2014)</w:t>
            </w:r>
          </w:p>
        </w:tc>
      </w:tr>
      <w:tr w:rsidR="00C67223" w:rsidRPr="00D9553A" w:rsidTr="00823A79">
        <w:trPr>
          <w:trHeight w:val="240"/>
        </w:trPr>
        <w:tc>
          <w:tcPr>
            <w:tcW w:w="6997" w:type="dxa"/>
            <w:gridSpan w:val="5"/>
            <w:shd w:val="clear" w:color="auto" w:fill="auto"/>
            <w:noWrap/>
            <w:vAlign w:val="center"/>
            <w:hideMark/>
          </w:tcPr>
          <w:p w:rsidR="00C67223" w:rsidRPr="00D9553A" w:rsidRDefault="00C67223" w:rsidP="00C67223">
            <w:pPr>
              <w:spacing w:after="0"/>
              <w:jc w:val="center"/>
              <w:rPr>
                <w:rFonts w:ascii="Times New Roman" w:eastAsia="Times New Roman" w:hAnsi="Times New Roman"/>
                <w:szCs w:val="20"/>
                <w:lang w:val="en-GB" w:eastAsia="en-GB"/>
              </w:rPr>
            </w:pPr>
            <w:r>
              <w:rPr>
                <w:rFonts w:eastAsia="Times New Roman" w:cs="Calibri"/>
                <w:color w:val="000000"/>
                <w:sz w:val="18"/>
                <w:szCs w:val="18"/>
                <w:lang w:val="en-GB" w:eastAsia="en-GB"/>
              </w:rPr>
              <w:t>GHG emissions reductions</w:t>
            </w:r>
            <w:r w:rsidR="001851AA">
              <w:rPr>
                <w:rFonts w:eastAsia="Times New Roman" w:cs="Calibri"/>
                <w:color w:val="000000"/>
                <w:sz w:val="18"/>
                <w:szCs w:val="18"/>
                <w:lang w:val="en-GB" w:eastAsia="en-GB"/>
              </w:rPr>
              <w:t xml:space="preserve"> (tCO2e/yr) </w:t>
            </w:r>
            <w:r>
              <w:rPr>
                <w:rFonts w:eastAsia="Times New Roman" w:cs="Calibri"/>
                <w:color w:val="000000"/>
                <w:sz w:val="18"/>
                <w:szCs w:val="18"/>
                <w:lang w:val="en-GB" w:eastAsia="en-GB"/>
              </w:rPr>
              <w:t xml:space="preserve"> (EF: 2.661 </w:t>
            </w:r>
            <w:r w:rsidRPr="00C67223">
              <w:rPr>
                <w:rFonts w:eastAsia="Times New Roman" w:cs="Calibri"/>
                <w:color w:val="000000"/>
                <w:sz w:val="18"/>
                <w:szCs w:val="18"/>
                <w:lang w:val="en-GB" w:eastAsia="en-GB"/>
              </w:rPr>
              <w:t>kg CO2e/l</w:t>
            </w:r>
            <w:r>
              <w:rPr>
                <w:rFonts w:eastAsia="Times New Roman" w:cs="Calibri"/>
                <w:color w:val="000000"/>
                <w:sz w:val="18"/>
                <w:szCs w:val="18"/>
                <w:lang w:val="en-GB" w:eastAsia="en-GB"/>
              </w:rPr>
              <w:t>)</w:t>
            </w:r>
          </w:p>
        </w:tc>
        <w:tc>
          <w:tcPr>
            <w:tcW w:w="1276" w:type="dxa"/>
            <w:shd w:val="clear" w:color="auto" w:fill="auto"/>
            <w:noWrap/>
            <w:vAlign w:val="center"/>
            <w:hideMark/>
          </w:tcPr>
          <w:p w:rsidR="00C67223" w:rsidRPr="00D9553A" w:rsidRDefault="00C67223" w:rsidP="00C67223">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17,279.24</w:t>
            </w:r>
          </w:p>
        </w:tc>
      </w:tr>
    </w:tbl>
    <w:p w:rsidR="00AE4B81" w:rsidRDefault="00AE4B81" w:rsidP="00227EC4">
      <w:pPr>
        <w:rPr>
          <w:szCs w:val="22"/>
        </w:rPr>
      </w:pPr>
    </w:p>
    <w:p w:rsidR="001851AA" w:rsidRDefault="001851AA" w:rsidP="00227EC4">
      <w:pPr>
        <w:rPr>
          <w:szCs w:val="22"/>
        </w:rPr>
      </w:pPr>
      <w:r>
        <w:rPr>
          <w:szCs w:val="22"/>
        </w:rPr>
        <w:t xml:space="preserve">As seen in the table, total fuel uses are reduced by 6.5 mln litre per year with associated savings of the order of US$ 6 mln per year. Fuel savings and diesel emission factor provide a simple estimate for annual GHG emission reductions for the base year, to be compared with the </w:t>
      </w:r>
      <w:r w:rsidRPr="001851AA">
        <w:rPr>
          <w:szCs w:val="22"/>
        </w:rPr>
        <w:t>17,363</w:t>
      </w:r>
      <w:r w:rsidR="00237720">
        <w:rPr>
          <w:szCs w:val="22"/>
        </w:rPr>
        <w:t xml:space="preserve"> tCO2e/yr in the previ</w:t>
      </w:r>
      <w:r>
        <w:rPr>
          <w:szCs w:val="22"/>
        </w:rPr>
        <w:t>ous table.</w:t>
      </w:r>
    </w:p>
    <w:p w:rsidR="00445D35" w:rsidRDefault="00445D35" w:rsidP="00227EC4">
      <w:pPr>
        <w:rPr>
          <w:szCs w:val="22"/>
        </w:rPr>
      </w:pPr>
    </w:p>
    <w:tbl>
      <w:tblPr>
        <w:tblW w:w="4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2336"/>
        <w:gridCol w:w="1276"/>
        <w:gridCol w:w="1276"/>
      </w:tblGrid>
      <w:tr w:rsidR="008A472A" w:rsidRPr="00D9553A" w:rsidTr="00823A79">
        <w:trPr>
          <w:trHeight w:val="240"/>
        </w:trPr>
        <w:tc>
          <w:tcPr>
            <w:tcW w:w="4888" w:type="dxa"/>
            <w:gridSpan w:val="3"/>
            <w:shd w:val="clear" w:color="auto" w:fill="D9D9D9" w:themeFill="background1" w:themeFillShade="D9"/>
            <w:noWrap/>
            <w:vAlign w:val="center"/>
          </w:tcPr>
          <w:p w:rsidR="008A472A" w:rsidRPr="008A472A" w:rsidRDefault="008A472A" w:rsidP="00823A79">
            <w:pPr>
              <w:spacing w:after="0"/>
              <w:jc w:val="center"/>
              <w:rPr>
                <w:rFonts w:eastAsia="Times New Roman" w:cs="Calibri"/>
                <w:smallCaps/>
                <w:color w:val="000000"/>
                <w:szCs w:val="18"/>
                <w:lang w:val="en-GB" w:eastAsia="en-GB"/>
              </w:rPr>
            </w:pPr>
            <w:r w:rsidRPr="008A472A">
              <w:rPr>
                <w:rFonts w:eastAsia="Times New Roman" w:cs="Calibri"/>
                <w:smallCaps/>
                <w:color w:val="000000"/>
                <w:szCs w:val="18"/>
                <w:lang w:val="en-GB" w:eastAsia="en-GB"/>
              </w:rPr>
              <w:t>SITRAMSS 3 – Fuel use per route type</w:t>
            </w:r>
          </w:p>
        </w:tc>
      </w:tr>
      <w:tr w:rsidR="008A472A" w:rsidRPr="00D9553A" w:rsidTr="00823A79">
        <w:trPr>
          <w:trHeight w:val="240"/>
        </w:trPr>
        <w:tc>
          <w:tcPr>
            <w:tcW w:w="2336" w:type="dxa"/>
            <w:vMerge w:val="restart"/>
            <w:shd w:val="clear" w:color="auto" w:fill="D9D9D9" w:themeFill="background1" w:themeFillShade="D9"/>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Cs w:val="18"/>
                <w:lang w:val="en-GB" w:eastAsia="en-GB"/>
              </w:rPr>
              <w:t>Vehicle type</w:t>
            </w:r>
          </w:p>
        </w:tc>
        <w:tc>
          <w:tcPr>
            <w:tcW w:w="2552" w:type="dxa"/>
            <w:gridSpan w:val="2"/>
            <w:shd w:val="clear" w:color="auto" w:fill="D9D9D9" w:themeFill="background1" w:themeFillShade="D9"/>
            <w:noWrap/>
            <w:vAlign w:val="center"/>
            <w:hideMark/>
          </w:tcPr>
          <w:p w:rsidR="008A472A" w:rsidRPr="00D9553A" w:rsidRDefault="008A472A" w:rsidP="00823A7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Annual fuel use</w:t>
            </w:r>
          </w:p>
        </w:tc>
      </w:tr>
      <w:tr w:rsidR="008A472A" w:rsidRPr="00D9553A" w:rsidTr="008A472A">
        <w:trPr>
          <w:trHeight w:val="240"/>
        </w:trPr>
        <w:tc>
          <w:tcPr>
            <w:tcW w:w="2336" w:type="dxa"/>
            <w:vMerge/>
            <w:shd w:val="clear" w:color="auto" w:fill="D9D9D9" w:themeFill="background1" w:themeFillShade="D9"/>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p>
        </w:tc>
        <w:tc>
          <w:tcPr>
            <w:tcW w:w="1276" w:type="dxa"/>
            <w:shd w:val="clear" w:color="auto" w:fill="D9D9D9" w:themeFill="background1" w:themeFillShade="D9"/>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(l/yr)</w:t>
            </w:r>
          </w:p>
        </w:tc>
        <w:tc>
          <w:tcPr>
            <w:tcW w:w="1276" w:type="dxa"/>
            <w:shd w:val="clear" w:color="auto" w:fill="D9D9D9" w:themeFill="background1" w:themeFillShade="D9"/>
          </w:tcPr>
          <w:p w:rsidR="008A472A" w:rsidRPr="00D9553A" w:rsidRDefault="008A472A" w:rsidP="00823A7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w:t>
            </w:r>
          </w:p>
        </w:tc>
      </w:tr>
      <w:tr w:rsidR="008A472A" w:rsidRPr="00D9553A" w:rsidTr="008A472A">
        <w:trPr>
          <w:trHeight w:val="240"/>
        </w:trPr>
        <w:tc>
          <w:tcPr>
            <w:tcW w:w="233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articulated (T1)</w:t>
            </w:r>
          </w:p>
        </w:tc>
        <w:tc>
          <w:tcPr>
            <w:tcW w:w="127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828,525</w:t>
            </w:r>
          </w:p>
        </w:tc>
        <w:tc>
          <w:tcPr>
            <w:tcW w:w="1276" w:type="dxa"/>
          </w:tcPr>
          <w:p w:rsidR="008A472A" w:rsidRPr="00D9553A" w:rsidRDefault="008A472A" w:rsidP="00823A7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8%</w:t>
            </w:r>
          </w:p>
        </w:tc>
      </w:tr>
      <w:tr w:rsidR="008A472A" w:rsidRPr="00D9553A" w:rsidTr="008A472A">
        <w:trPr>
          <w:trHeight w:val="240"/>
        </w:trPr>
        <w:tc>
          <w:tcPr>
            <w:tcW w:w="233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short (T2, P1, P2)</w:t>
            </w:r>
          </w:p>
        </w:tc>
        <w:tc>
          <w:tcPr>
            <w:tcW w:w="127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3,012,713</w:t>
            </w:r>
          </w:p>
        </w:tc>
        <w:tc>
          <w:tcPr>
            <w:tcW w:w="1276" w:type="dxa"/>
          </w:tcPr>
          <w:p w:rsidR="008A472A" w:rsidRPr="00D9553A" w:rsidRDefault="008A472A" w:rsidP="00823A7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29%</w:t>
            </w:r>
          </w:p>
        </w:tc>
      </w:tr>
      <w:tr w:rsidR="008A472A" w:rsidRPr="00D9553A" w:rsidTr="008A472A">
        <w:trPr>
          <w:trHeight w:val="240"/>
        </w:trPr>
        <w:tc>
          <w:tcPr>
            <w:tcW w:w="233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Re-used buses</w:t>
            </w:r>
          </w:p>
        </w:tc>
        <w:tc>
          <w:tcPr>
            <w:tcW w:w="127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3,786,935</w:t>
            </w:r>
          </w:p>
        </w:tc>
        <w:tc>
          <w:tcPr>
            <w:tcW w:w="1276" w:type="dxa"/>
          </w:tcPr>
          <w:p w:rsidR="008A472A" w:rsidRPr="00D9553A" w:rsidRDefault="008A472A" w:rsidP="00823A7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36%</w:t>
            </w:r>
          </w:p>
        </w:tc>
      </w:tr>
      <w:tr w:rsidR="008A472A" w:rsidRPr="00D9553A" w:rsidTr="008A472A">
        <w:trPr>
          <w:trHeight w:val="240"/>
        </w:trPr>
        <w:tc>
          <w:tcPr>
            <w:tcW w:w="233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Re-used microbuses</w:t>
            </w:r>
          </w:p>
        </w:tc>
        <w:tc>
          <w:tcPr>
            <w:tcW w:w="1276" w:type="dxa"/>
            <w:shd w:val="clear" w:color="auto" w:fill="auto"/>
            <w:noWrap/>
            <w:vAlign w:val="center"/>
            <w:hideMark/>
          </w:tcPr>
          <w:p w:rsidR="008A472A" w:rsidRPr="00D9553A" w:rsidRDefault="008A472A" w:rsidP="00823A7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2,842,522</w:t>
            </w:r>
          </w:p>
        </w:tc>
        <w:tc>
          <w:tcPr>
            <w:tcW w:w="1276" w:type="dxa"/>
          </w:tcPr>
          <w:p w:rsidR="008A472A" w:rsidRPr="00D9553A" w:rsidRDefault="008A472A" w:rsidP="00823A7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17%</w:t>
            </w:r>
          </w:p>
        </w:tc>
      </w:tr>
      <w:tr w:rsidR="008A472A" w:rsidRPr="00D9553A" w:rsidTr="008A472A">
        <w:trPr>
          <w:trHeight w:val="240"/>
        </w:trPr>
        <w:tc>
          <w:tcPr>
            <w:tcW w:w="2336" w:type="dxa"/>
            <w:shd w:val="clear" w:color="auto" w:fill="auto"/>
            <w:noWrap/>
            <w:vAlign w:val="center"/>
            <w:hideMark/>
          </w:tcPr>
          <w:p w:rsidR="008A472A" w:rsidRPr="00D9553A" w:rsidRDefault="008A472A" w:rsidP="00823A79">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TOTAL</w:t>
            </w:r>
          </w:p>
        </w:tc>
        <w:tc>
          <w:tcPr>
            <w:tcW w:w="1276" w:type="dxa"/>
            <w:shd w:val="clear" w:color="auto" w:fill="auto"/>
            <w:noWrap/>
            <w:vAlign w:val="center"/>
            <w:hideMark/>
          </w:tcPr>
          <w:p w:rsidR="008A472A" w:rsidRPr="00D9553A" w:rsidRDefault="008A472A" w:rsidP="00823A79">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10,470,694</w:t>
            </w:r>
          </w:p>
        </w:tc>
        <w:tc>
          <w:tcPr>
            <w:tcW w:w="1276" w:type="dxa"/>
          </w:tcPr>
          <w:p w:rsidR="008A472A" w:rsidRPr="00D9553A" w:rsidRDefault="008A472A" w:rsidP="00823A79">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100%</w:t>
            </w:r>
          </w:p>
        </w:tc>
      </w:tr>
    </w:tbl>
    <w:p w:rsidR="008A472A" w:rsidRDefault="008A472A" w:rsidP="00227EC4">
      <w:pPr>
        <w:rPr>
          <w:szCs w:val="22"/>
        </w:rPr>
      </w:pPr>
    </w:p>
    <w:p w:rsidR="00ED5636" w:rsidRDefault="00ED5636" w:rsidP="00227EC4">
      <w:pPr>
        <w:rPr>
          <w:szCs w:val="22"/>
        </w:rPr>
      </w:pPr>
    </w:p>
    <w:p w:rsidR="00445D35" w:rsidRPr="00BB5402" w:rsidRDefault="00ED5636" w:rsidP="00227EC4">
      <w:pPr>
        <w:rPr>
          <w:i/>
          <w:szCs w:val="22"/>
          <w:u w:val="single"/>
        </w:rPr>
      </w:pPr>
      <w:r w:rsidRPr="00BB5402">
        <w:rPr>
          <w:i/>
          <w:szCs w:val="22"/>
          <w:u w:val="single"/>
        </w:rPr>
        <w:t>B</w:t>
      </w:r>
      <w:r w:rsidR="00816D45" w:rsidRPr="00BB5402">
        <w:rPr>
          <w:i/>
          <w:szCs w:val="22"/>
          <w:u w:val="single"/>
        </w:rPr>
        <w:t xml:space="preserve">aseline </w:t>
      </w:r>
      <w:r w:rsidRPr="00BB5402">
        <w:rPr>
          <w:i/>
          <w:szCs w:val="22"/>
          <w:u w:val="single"/>
        </w:rPr>
        <w:t>scenario 2018</w:t>
      </w:r>
    </w:p>
    <w:p w:rsidR="00DF7B50" w:rsidRDefault="00823A79" w:rsidP="00227EC4">
      <w:pPr>
        <w:rPr>
          <w:szCs w:val="22"/>
        </w:rPr>
      </w:pPr>
      <w:r>
        <w:rPr>
          <w:szCs w:val="22"/>
        </w:rPr>
        <w:t>The SITRAMSS 3 (2014) scenario implies a transformation of the conventional bus network in the influence area of SITRAMSS Corridor I into a feeder system. This has not been achieved and, as of 2018, T I operates with only 16 articulated buses end 21 padrones (37 units). The Baseline 2018 therefore consists of this T I plus a number of buses and microbuses that has evolved from the Baseline 2014. Since demand for public transport has not decreased over since 2018, the conventional buses in circulation will probably be similar to the Baseline 2014 situation. Factual information about the current situation is not available</w:t>
      </w:r>
      <w:r w:rsidR="00DF7B50">
        <w:rPr>
          <w:szCs w:val="22"/>
        </w:rPr>
        <w:t xml:space="preserve">. </w:t>
      </w:r>
    </w:p>
    <w:p w:rsidR="00823A79" w:rsidRDefault="00DF7B50" w:rsidP="00DF7B50">
      <w:pPr>
        <w:rPr>
          <w:szCs w:val="22"/>
        </w:rPr>
      </w:pPr>
      <w:r>
        <w:rPr>
          <w:szCs w:val="22"/>
        </w:rPr>
        <w:t>Since demand of public transport in the area has not decreases</w:t>
      </w:r>
      <w:r w:rsidR="00081F3D">
        <w:rPr>
          <w:szCs w:val="22"/>
        </w:rPr>
        <w:t xml:space="preserve"> and the conventional bus system remains based competitive, </w:t>
      </w:r>
      <w:r>
        <w:rPr>
          <w:szCs w:val="22"/>
        </w:rPr>
        <w:t xml:space="preserve">it seems reasonable to assume that most or all of the buses and microbuses from the Baseline 2014 are still in service.  Reportedly, conventional buses </w:t>
      </w:r>
      <w:r w:rsidR="00081F3D">
        <w:rPr>
          <w:szCs w:val="22"/>
        </w:rPr>
        <w:t xml:space="preserve">now run </w:t>
      </w:r>
      <w:r>
        <w:rPr>
          <w:szCs w:val="22"/>
        </w:rPr>
        <w:t>in parallel to the articulated SITRAMSS buses along the T I stretch since May 2017</w:t>
      </w:r>
      <w:r w:rsidR="00081F3D">
        <w:rPr>
          <w:szCs w:val="22"/>
        </w:rPr>
        <w:t xml:space="preserve"> with </w:t>
      </w:r>
      <w:r>
        <w:rPr>
          <w:szCs w:val="22"/>
        </w:rPr>
        <w:t xml:space="preserve">the SITRAMSS buses </w:t>
      </w:r>
      <w:r w:rsidR="00081F3D">
        <w:rPr>
          <w:szCs w:val="22"/>
        </w:rPr>
        <w:t>operating at similar speeds</w:t>
      </w:r>
      <w:r>
        <w:rPr>
          <w:szCs w:val="22"/>
        </w:rPr>
        <w:t xml:space="preserve">. </w:t>
      </w:r>
      <w:r w:rsidR="003540C0">
        <w:rPr>
          <w:szCs w:val="22"/>
        </w:rPr>
        <w:t xml:space="preserve">The bus operator has limited </w:t>
      </w:r>
      <w:r w:rsidR="002F2B4A">
        <w:rPr>
          <w:szCs w:val="22"/>
        </w:rPr>
        <w:t xml:space="preserve">the </w:t>
      </w:r>
      <w:r w:rsidR="003540C0">
        <w:rPr>
          <w:szCs w:val="22"/>
        </w:rPr>
        <w:t>deployment of the short buses to avoid incurring in high operational losses. Based on this information, the current situation (Baselin</w:t>
      </w:r>
      <w:r w:rsidR="000F7BBB">
        <w:rPr>
          <w:szCs w:val="22"/>
        </w:rPr>
        <w:t>e</w:t>
      </w:r>
      <w:r w:rsidR="003540C0">
        <w:rPr>
          <w:szCs w:val="22"/>
        </w:rPr>
        <w:t xml:space="preserve"> 2018) </w:t>
      </w:r>
      <w:r w:rsidR="000F7BBB">
        <w:rPr>
          <w:szCs w:val="22"/>
        </w:rPr>
        <w:t xml:space="preserve">can be approximated as in the next table. </w:t>
      </w:r>
    </w:p>
    <w:p w:rsidR="00CF5F1F" w:rsidRDefault="00CF5F1F" w:rsidP="00DF7B50">
      <w:pPr>
        <w:rPr>
          <w:szCs w:val="22"/>
        </w:rPr>
      </w:pPr>
    </w:p>
    <w:tbl>
      <w:tblPr>
        <w:tblW w:w="8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2336"/>
        <w:gridCol w:w="976"/>
        <w:gridCol w:w="1256"/>
        <w:gridCol w:w="1256"/>
        <w:gridCol w:w="1173"/>
        <w:gridCol w:w="1276"/>
      </w:tblGrid>
      <w:tr w:rsidR="003540C0" w:rsidRPr="00D9553A" w:rsidTr="00382A29">
        <w:trPr>
          <w:trHeight w:val="240"/>
        </w:trPr>
        <w:tc>
          <w:tcPr>
            <w:tcW w:w="8273" w:type="dxa"/>
            <w:gridSpan w:val="6"/>
            <w:shd w:val="clear" w:color="auto" w:fill="D9D9D9" w:themeFill="background1" w:themeFillShade="D9"/>
            <w:noWrap/>
            <w:vAlign w:val="center"/>
            <w:hideMark/>
          </w:tcPr>
          <w:p w:rsidR="003540C0" w:rsidRPr="00D9553A" w:rsidRDefault="003540C0" w:rsidP="000F7BBB">
            <w:pPr>
              <w:spacing w:after="0"/>
              <w:jc w:val="center"/>
              <w:rPr>
                <w:rFonts w:ascii="Times New Roman" w:eastAsia="Times New Roman" w:hAnsi="Times New Roman"/>
                <w:smallCaps/>
                <w:szCs w:val="20"/>
                <w:lang w:val="en-GB" w:eastAsia="en-GB"/>
              </w:rPr>
            </w:pPr>
            <w:r w:rsidRPr="00D9553A">
              <w:rPr>
                <w:rFonts w:eastAsia="Times New Roman" w:cs="Calibri"/>
                <w:smallCaps/>
                <w:color w:val="000000"/>
                <w:szCs w:val="18"/>
                <w:lang w:val="en-GB" w:eastAsia="en-GB"/>
              </w:rPr>
              <w:t>SITRAMS</w:t>
            </w:r>
            <w:r>
              <w:rPr>
                <w:rFonts w:eastAsia="Times New Roman" w:cs="Calibri"/>
                <w:smallCaps/>
                <w:color w:val="000000"/>
                <w:szCs w:val="18"/>
                <w:lang w:val="en-GB" w:eastAsia="en-GB"/>
              </w:rPr>
              <w:t>S</w:t>
            </w:r>
            <w:r w:rsidRPr="00D9553A">
              <w:rPr>
                <w:rFonts w:eastAsia="Times New Roman" w:cs="Calibri"/>
                <w:smallCaps/>
                <w:color w:val="000000"/>
                <w:szCs w:val="18"/>
                <w:lang w:val="en-GB" w:eastAsia="en-GB"/>
              </w:rPr>
              <w:t xml:space="preserve"> </w:t>
            </w:r>
            <w:r>
              <w:rPr>
                <w:rFonts w:eastAsia="Times New Roman" w:cs="Calibri"/>
                <w:smallCaps/>
                <w:color w:val="000000"/>
                <w:szCs w:val="18"/>
                <w:lang w:val="en-GB" w:eastAsia="en-GB"/>
              </w:rPr>
              <w:t>– Estimated Baseline 2018</w:t>
            </w:r>
          </w:p>
        </w:tc>
      </w:tr>
      <w:tr w:rsidR="003540C0" w:rsidRPr="00D9553A" w:rsidTr="00382A29">
        <w:trPr>
          <w:trHeight w:val="240"/>
        </w:trPr>
        <w:tc>
          <w:tcPr>
            <w:tcW w:w="2336" w:type="dxa"/>
            <w:vMerge w:val="restart"/>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r w:rsidRPr="00D9553A">
              <w:rPr>
                <w:rFonts w:eastAsia="Times New Roman" w:cs="Calibri"/>
                <w:color w:val="000000"/>
                <w:szCs w:val="18"/>
                <w:lang w:val="en-GB" w:eastAsia="en-GB"/>
              </w:rPr>
              <w:t>Vehicle type</w:t>
            </w:r>
          </w:p>
        </w:tc>
        <w:tc>
          <w:tcPr>
            <w:tcW w:w="97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Number</w:t>
            </w:r>
          </w:p>
        </w:tc>
        <w:tc>
          <w:tcPr>
            <w:tcW w:w="125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total distance</w:t>
            </w:r>
          </w:p>
        </w:tc>
        <w:tc>
          <w:tcPr>
            <w:tcW w:w="125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total per unit</w:t>
            </w:r>
          </w:p>
        </w:tc>
        <w:tc>
          <w:tcPr>
            <w:tcW w:w="1173"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Specific fuel use</w:t>
            </w:r>
          </w:p>
        </w:tc>
        <w:tc>
          <w:tcPr>
            <w:tcW w:w="127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Annual fuel use</w:t>
            </w:r>
          </w:p>
        </w:tc>
      </w:tr>
      <w:tr w:rsidR="003540C0" w:rsidRPr="00D9553A" w:rsidTr="00382A29">
        <w:trPr>
          <w:trHeight w:val="240"/>
        </w:trPr>
        <w:tc>
          <w:tcPr>
            <w:tcW w:w="2336" w:type="dxa"/>
            <w:vMerge/>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p>
        </w:tc>
        <w:tc>
          <w:tcPr>
            <w:tcW w:w="97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w:t>
            </w:r>
          </w:p>
        </w:tc>
        <w:tc>
          <w:tcPr>
            <w:tcW w:w="125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(km/yr)</w:t>
            </w:r>
          </w:p>
        </w:tc>
        <w:tc>
          <w:tcPr>
            <w:tcW w:w="125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(km/yr)</w:t>
            </w:r>
          </w:p>
        </w:tc>
        <w:tc>
          <w:tcPr>
            <w:tcW w:w="1173"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(l/km)</w:t>
            </w:r>
          </w:p>
        </w:tc>
        <w:tc>
          <w:tcPr>
            <w:tcW w:w="1276" w:type="dxa"/>
            <w:shd w:val="clear" w:color="auto" w:fill="D9D9D9" w:themeFill="background1" w:themeFillShade="D9"/>
            <w:noWrap/>
            <w:vAlign w:val="center"/>
            <w:hideMark/>
          </w:tcPr>
          <w:p w:rsidR="003540C0" w:rsidRPr="00D9553A" w:rsidRDefault="003540C0"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(l/yr)</w:t>
            </w:r>
          </w:p>
        </w:tc>
      </w:tr>
      <w:tr w:rsidR="003540C0" w:rsidRPr="00D9553A" w:rsidTr="00382A29">
        <w:trPr>
          <w:trHeight w:val="240"/>
        </w:trPr>
        <w:tc>
          <w:tcPr>
            <w:tcW w:w="8273" w:type="dxa"/>
            <w:gridSpan w:val="6"/>
            <w:shd w:val="clear" w:color="auto" w:fill="F2F2F2" w:themeFill="background1" w:themeFillShade="F2"/>
            <w:noWrap/>
            <w:vAlign w:val="center"/>
          </w:tcPr>
          <w:p w:rsidR="003540C0" w:rsidRPr="00D9553A" w:rsidRDefault="003540C0" w:rsidP="00382A29">
            <w:pPr>
              <w:spacing w:after="0"/>
              <w:jc w:val="center"/>
              <w:rPr>
                <w:rFonts w:ascii="Times New Roman" w:eastAsia="Times New Roman" w:hAnsi="Times New Roman"/>
                <w:smallCaps/>
                <w:szCs w:val="20"/>
                <w:lang w:val="en-GB" w:eastAsia="en-GB"/>
              </w:rPr>
            </w:pPr>
            <w:r>
              <w:rPr>
                <w:rFonts w:eastAsia="Times New Roman" w:cs="Calibri"/>
                <w:smallCaps/>
                <w:color w:val="000000"/>
                <w:sz w:val="18"/>
                <w:szCs w:val="18"/>
                <w:lang w:val="en-GB" w:eastAsia="en-GB"/>
              </w:rPr>
              <w:t>Annual Diesel Fuel Consumption</w:t>
            </w:r>
            <w:r w:rsidRPr="00D9553A">
              <w:rPr>
                <w:rFonts w:eastAsia="Times New Roman" w:cs="Calibri"/>
                <w:smallCaps/>
                <w:color w:val="000000"/>
                <w:sz w:val="18"/>
                <w:szCs w:val="18"/>
                <w:lang w:val="en-GB" w:eastAsia="en-GB"/>
              </w:rPr>
              <w:t>2014 Baseline</w:t>
            </w:r>
          </w:p>
        </w:tc>
      </w:tr>
      <w:tr w:rsidR="003540C0" w:rsidRPr="00D9553A" w:rsidTr="00382A29">
        <w:trPr>
          <w:trHeight w:val="240"/>
        </w:trPr>
        <w:tc>
          <w:tcPr>
            <w:tcW w:w="233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articulated (T1)</w:t>
            </w:r>
          </w:p>
        </w:tc>
        <w:tc>
          <w:tcPr>
            <w:tcW w:w="97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16</w:t>
            </w:r>
          </w:p>
        </w:tc>
        <w:tc>
          <w:tcPr>
            <w:tcW w:w="125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981,955</w:t>
            </w:r>
          </w:p>
        </w:tc>
        <w:tc>
          <w:tcPr>
            <w:tcW w:w="125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61,372</w:t>
            </w:r>
          </w:p>
        </w:tc>
        <w:tc>
          <w:tcPr>
            <w:tcW w:w="1173"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0.5</w:t>
            </w:r>
          </w:p>
        </w:tc>
        <w:tc>
          <w:tcPr>
            <w:tcW w:w="127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490,977</w:t>
            </w:r>
          </w:p>
        </w:tc>
      </w:tr>
      <w:tr w:rsidR="003540C0" w:rsidRPr="00D9553A" w:rsidTr="00382A29">
        <w:trPr>
          <w:trHeight w:val="240"/>
        </w:trPr>
        <w:tc>
          <w:tcPr>
            <w:tcW w:w="233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Buses</w:t>
            </w:r>
          </w:p>
        </w:tc>
        <w:tc>
          <w:tcPr>
            <w:tcW w:w="97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649</w:t>
            </w:r>
          </w:p>
        </w:tc>
        <w:tc>
          <w:tcPr>
            <w:tcW w:w="125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26,566,815</w:t>
            </w:r>
          </w:p>
        </w:tc>
        <w:tc>
          <w:tcPr>
            <w:tcW w:w="125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40,935</w:t>
            </w:r>
          </w:p>
        </w:tc>
        <w:tc>
          <w:tcPr>
            <w:tcW w:w="1173"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0.32</w:t>
            </w:r>
          </w:p>
        </w:tc>
        <w:tc>
          <w:tcPr>
            <w:tcW w:w="127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8,501,381</w:t>
            </w:r>
          </w:p>
        </w:tc>
      </w:tr>
      <w:tr w:rsidR="003540C0" w:rsidRPr="00D9553A" w:rsidTr="00382A29">
        <w:trPr>
          <w:trHeight w:val="240"/>
        </w:trPr>
        <w:tc>
          <w:tcPr>
            <w:tcW w:w="233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Microbuses</w:t>
            </w:r>
          </w:p>
        </w:tc>
        <w:tc>
          <w:tcPr>
            <w:tcW w:w="97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493</w:t>
            </w:r>
          </w:p>
        </w:tc>
        <w:tc>
          <w:tcPr>
            <w:tcW w:w="125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33,851,312</w:t>
            </w:r>
          </w:p>
        </w:tc>
        <w:tc>
          <w:tcPr>
            <w:tcW w:w="125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68,664</w:t>
            </w:r>
          </w:p>
        </w:tc>
        <w:tc>
          <w:tcPr>
            <w:tcW w:w="1173"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0.25</w:t>
            </w:r>
          </w:p>
        </w:tc>
        <w:tc>
          <w:tcPr>
            <w:tcW w:w="1276" w:type="dxa"/>
            <w:shd w:val="clear" w:color="auto" w:fill="auto"/>
            <w:noWrap/>
            <w:vAlign w:val="center"/>
          </w:tcPr>
          <w:p w:rsidR="003540C0" w:rsidRPr="00D9553A" w:rsidRDefault="003540C0" w:rsidP="003540C0">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8,462,828</w:t>
            </w:r>
          </w:p>
        </w:tc>
      </w:tr>
      <w:tr w:rsidR="003540C0" w:rsidRPr="00D9553A" w:rsidTr="00382A29">
        <w:trPr>
          <w:trHeight w:val="240"/>
        </w:trPr>
        <w:tc>
          <w:tcPr>
            <w:tcW w:w="2336" w:type="dxa"/>
            <w:shd w:val="clear" w:color="auto" w:fill="auto"/>
            <w:noWrap/>
            <w:vAlign w:val="center"/>
          </w:tcPr>
          <w:p w:rsidR="003540C0" w:rsidRPr="00D9553A" w:rsidRDefault="003540C0" w:rsidP="003540C0">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TOTAL</w:t>
            </w:r>
          </w:p>
        </w:tc>
        <w:tc>
          <w:tcPr>
            <w:tcW w:w="976" w:type="dxa"/>
            <w:shd w:val="clear" w:color="auto" w:fill="auto"/>
            <w:noWrap/>
            <w:vAlign w:val="center"/>
          </w:tcPr>
          <w:p w:rsidR="003540C0" w:rsidRPr="00D9553A" w:rsidRDefault="000F7BBB" w:rsidP="003540C0">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1,158</w:t>
            </w:r>
          </w:p>
        </w:tc>
        <w:tc>
          <w:tcPr>
            <w:tcW w:w="1256" w:type="dxa"/>
            <w:shd w:val="clear" w:color="auto" w:fill="auto"/>
            <w:noWrap/>
            <w:vAlign w:val="center"/>
          </w:tcPr>
          <w:p w:rsidR="003540C0" w:rsidRPr="00D9553A" w:rsidRDefault="000F7BBB" w:rsidP="000F7BBB">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61</w:t>
            </w:r>
            <w:r w:rsidR="003540C0" w:rsidRPr="00D9553A">
              <w:rPr>
                <w:rFonts w:eastAsia="Times New Roman" w:cs="Calibri"/>
                <w:bCs/>
                <w:color w:val="000000"/>
                <w:sz w:val="18"/>
                <w:szCs w:val="18"/>
                <w:lang w:val="en-GB" w:eastAsia="en-GB"/>
              </w:rPr>
              <w:t>,4</w:t>
            </w:r>
            <w:r>
              <w:rPr>
                <w:rFonts w:eastAsia="Times New Roman" w:cs="Calibri"/>
                <w:bCs/>
                <w:color w:val="000000"/>
                <w:sz w:val="18"/>
                <w:szCs w:val="18"/>
                <w:lang w:val="en-GB" w:eastAsia="en-GB"/>
              </w:rPr>
              <w:t>00,082</w:t>
            </w:r>
          </w:p>
        </w:tc>
        <w:tc>
          <w:tcPr>
            <w:tcW w:w="1256" w:type="dxa"/>
            <w:shd w:val="clear" w:color="auto" w:fill="auto"/>
            <w:noWrap/>
            <w:vAlign w:val="center"/>
          </w:tcPr>
          <w:p w:rsidR="003540C0" w:rsidRPr="00D9553A" w:rsidRDefault="003540C0" w:rsidP="003540C0">
            <w:pPr>
              <w:spacing w:after="0"/>
              <w:jc w:val="center"/>
              <w:rPr>
                <w:rFonts w:eastAsia="Times New Roman" w:cs="Calibri"/>
                <w:bCs/>
                <w:color w:val="000000"/>
                <w:sz w:val="18"/>
                <w:szCs w:val="18"/>
                <w:lang w:val="en-GB" w:eastAsia="en-GB"/>
              </w:rPr>
            </w:pPr>
          </w:p>
        </w:tc>
        <w:tc>
          <w:tcPr>
            <w:tcW w:w="1173" w:type="dxa"/>
            <w:shd w:val="clear" w:color="auto" w:fill="auto"/>
            <w:noWrap/>
            <w:vAlign w:val="center"/>
          </w:tcPr>
          <w:p w:rsidR="003540C0" w:rsidRPr="00D9553A" w:rsidRDefault="003540C0" w:rsidP="003540C0">
            <w:pPr>
              <w:spacing w:after="0"/>
              <w:jc w:val="center"/>
              <w:rPr>
                <w:rFonts w:ascii="Times New Roman" w:eastAsia="Times New Roman" w:hAnsi="Times New Roman"/>
                <w:szCs w:val="20"/>
                <w:lang w:val="en-GB" w:eastAsia="en-GB"/>
              </w:rPr>
            </w:pPr>
          </w:p>
        </w:tc>
        <w:tc>
          <w:tcPr>
            <w:tcW w:w="1276" w:type="dxa"/>
            <w:shd w:val="clear" w:color="auto" w:fill="auto"/>
            <w:noWrap/>
            <w:vAlign w:val="center"/>
          </w:tcPr>
          <w:p w:rsidR="003540C0" w:rsidRPr="00D9553A" w:rsidRDefault="000F7BBB" w:rsidP="000F7BBB">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17</w:t>
            </w:r>
            <w:r w:rsidR="003540C0" w:rsidRPr="00D9553A">
              <w:rPr>
                <w:rFonts w:eastAsia="Times New Roman" w:cs="Calibri"/>
                <w:bCs/>
                <w:color w:val="000000"/>
                <w:sz w:val="18"/>
                <w:szCs w:val="18"/>
                <w:lang w:val="en-GB" w:eastAsia="en-GB"/>
              </w:rPr>
              <w:t>,</w:t>
            </w:r>
            <w:r>
              <w:rPr>
                <w:rFonts w:eastAsia="Times New Roman" w:cs="Calibri"/>
                <w:bCs/>
                <w:color w:val="000000"/>
                <w:sz w:val="18"/>
                <w:szCs w:val="18"/>
                <w:lang w:val="en-GB" w:eastAsia="en-GB"/>
              </w:rPr>
              <w:t>455,186</w:t>
            </w:r>
          </w:p>
        </w:tc>
      </w:tr>
      <w:tr w:rsidR="003540C0" w:rsidRPr="00D9553A" w:rsidTr="00382A29">
        <w:trPr>
          <w:trHeight w:val="240"/>
        </w:trPr>
        <w:tc>
          <w:tcPr>
            <w:tcW w:w="8273" w:type="dxa"/>
            <w:gridSpan w:val="6"/>
            <w:shd w:val="clear" w:color="auto" w:fill="D9D9D9" w:themeFill="background1" w:themeFillShade="D9"/>
            <w:noWrap/>
            <w:vAlign w:val="center"/>
            <w:hideMark/>
          </w:tcPr>
          <w:p w:rsidR="003540C0" w:rsidRPr="00D9553A" w:rsidRDefault="003540C0" w:rsidP="00DC4464">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Annual GHG Emission</w:t>
            </w:r>
            <w:r w:rsidR="00DC4464">
              <w:rPr>
                <w:rFonts w:eastAsia="Times New Roman" w:cs="Calibri"/>
                <w:smallCaps/>
                <w:color w:val="000000"/>
                <w:sz w:val="18"/>
                <w:szCs w:val="18"/>
                <w:lang w:val="en-GB" w:eastAsia="en-GB"/>
              </w:rPr>
              <w:t xml:space="preserve">s </w:t>
            </w:r>
            <w:r>
              <w:rPr>
                <w:rFonts w:eastAsia="Times New Roman" w:cs="Calibri"/>
                <w:smallCaps/>
                <w:color w:val="000000"/>
                <w:sz w:val="18"/>
                <w:szCs w:val="18"/>
                <w:lang w:val="en-GB" w:eastAsia="en-GB"/>
              </w:rPr>
              <w:t xml:space="preserve">under </w:t>
            </w:r>
            <w:r w:rsidR="000F7BBB">
              <w:rPr>
                <w:rFonts w:eastAsia="Times New Roman" w:cs="Calibri"/>
                <w:smallCaps/>
                <w:color w:val="000000"/>
                <w:sz w:val="18"/>
                <w:szCs w:val="18"/>
                <w:lang w:val="en-GB" w:eastAsia="en-GB"/>
              </w:rPr>
              <w:t>Baseline 2018</w:t>
            </w:r>
          </w:p>
        </w:tc>
      </w:tr>
      <w:tr w:rsidR="003540C0" w:rsidRPr="00D9553A" w:rsidTr="00382A29">
        <w:trPr>
          <w:trHeight w:val="240"/>
        </w:trPr>
        <w:tc>
          <w:tcPr>
            <w:tcW w:w="6997" w:type="dxa"/>
            <w:gridSpan w:val="5"/>
            <w:shd w:val="clear" w:color="auto" w:fill="auto"/>
            <w:noWrap/>
            <w:vAlign w:val="center"/>
            <w:hideMark/>
          </w:tcPr>
          <w:p w:rsidR="003540C0" w:rsidRPr="00D9553A" w:rsidRDefault="003540C0" w:rsidP="00DC4464">
            <w:pPr>
              <w:spacing w:after="0"/>
              <w:jc w:val="center"/>
              <w:rPr>
                <w:rFonts w:ascii="Times New Roman" w:eastAsia="Times New Roman" w:hAnsi="Times New Roman"/>
                <w:szCs w:val="20"/>
                <w:lang w:val="en-GB" w:eastAsia="en-GB"/>
              </w:rPr>
            </w:pPr>
            <w:r>
              <w:rPr>
                <w:rFonts w:eastAsia="Times New Roman" w:cs="Calibri"/>
                <w:color w:val="000000"/>
                <w:sz w:val="18"/>
                <w:szCs w:val="18"/>
                <w:lang w:val="en-GB" w:eastAsia="en-GB"/>
              </w:rPr>
              <w:t xml:space="preserve">GHG emissions (tCO2e/yr)  (EF: 2.661 </w:t>
            </w:r>
            <w:r w:rsidRPr="00C67223">
              <w:rPr>
                <w:rFonts w:eastAsia="Times New Roman" w:cs="Calibri"/>
                <w:color w:val="000000"/>
                <w:sz w:val="18"/>
                <w:szCs w:val="18"/>
                <w:lang w:val="en-GB" w:eastAsia="en-GB"/>
              </w:rPr>
              <w:t>kg CO2e/l</w:t>
            </w:r>
            <w:r>
              <w:rPr>
                <w:rFonts w:eastAsia="Times New Roman" w:cs="Calibri"/>
                <w:color w:val="000000"/>
                <w:sz w:val="18"/>
                <w:szCs w:val="18"/>
                <w:lang w:val="en-GB" w:eastAsia="en-GB"/>
              </w:rPr>
              <w:t>)</w:t>
            </w:r>
          </w:p>
        </w:tc>
        <w:tc>
          <w:tcPr>
            <w:tcW w:w="1276" w:type="dxa"/>
            <w:shd w:val="clear" w:color="auto" w:fill="auto"/>
            <w:noWrap/>
            <w:vAlign w:val="center"/>
            <w:hideMark/>
          </w:tcPr>
          <w:p w:rsidR="003540C0" w:rsidRPr="00D9553A" w:rsidRDefault="000F7BBB" w:rsidP="000F7BBB">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46</w:t>
            </w:r>
            <w:r w:rsidR="003540C0" w:rsidRPr="00D9553A">
              <w:rPr>
                <w:rFonts w:eastAsia="Times New Roman" w:cs="Calibri"/>
                <w:bCs/>
                <w:color w:val="000000"/>
                <w:sz w:val="18"/>
                <w:szCs w:val="18"/>
                <w:lang w:val="en-GB" w:eastAsia="en-GB"/>
              </w:rPr>
              <w:t>,</w:t>
            </w:r>
            <w:r>
              <w:rPr>
                <w:rFonts w:eastAsia="Times New Roman" w:cs="Calibri"/>
                <w:bCs/>
                <w:color w:val="000000"/>
                <w:sz w:val="18"/>
                <w:szCs w:val="18"/>
                <w:lang w:val="en-GB" w:eastAsia="en-GB"/>
              </w:rPr>
              <w:t>448</w:t>
            </w:r>
          </w:p>
        </w:tc>
      </w:tr>
    </w:tbl>
    <w:p w:rsidR="003540C0" w:rsidRDefault="003540C0" w:rsidP="00DF7B50">
      <w:pPr>
        <w:rPr>
          <w:szCs w:val="22"/>
        </w:rPr>
      </w:pPr>
    </w:p>
    <w:p w:rsidR="003540C0" w:rsidRDefault="004F5A01" w:rsidP="00DF7B50">
      <w:pPr>
        <w:rPr>
          <w:szCs w:val="22"/>
        </w:rPr>
      </w:pPr>
      <w:r>
        <w:rPr>
          <w:szCs w:val="22"/>
        </w:rPr>
        <w:t>As such, fuel consumption and GHG emissions have increased slightly compared to the Baseline 2014 and at a fixed number of passengers, passenger density per unit will have dropped slightly.</w:t>
      </w:r>
    </w:p>
    <w:p w:rsidR="00CF5F1F" w:rsidRDefault="00CF5F1F" w:rsidP="00DF7B50">
      <w:pPr>
        <w:rPr>
          <w:szCs w:val="22"/>
        </w:rPr>
      </w:pPr>
    </w:p>
    <w:p w:rsidR="004F5A01" w:rsidRPr="00BB5402" w:rsidRDefault="004F5A01" w:rsidP="00DF7B50">
      <w:pPr>
        <w:rPr>
          <w:i/>
          <w:szCs w:val="22"/>
        </w:rPr>
      </w:pPr>
      <w:r w:rsidRPr="00BB5402">
        <w:rPr>
          <w:i/>
          <w:szCs w:val="22"/>
          <w:u w:val="single"/>
        </w:rPr>
        <w:t>SITRAMSS alternative</w:t>
      </w:r>
      <w:r w:rsidR="001B122A" w:rsidRPr="00BB5402">
        <w:rPr>
          <w:i/>
          <w:szCs w:val="22"/>
          <w:u w:val="single"/>
        </w:rPr>
        <w:t xml:space="preserve"> scenario 2018</w:t>
      </w:r>
    </w:p>
    <w:p w:rsidR="004F5A01" w:rsidRDefault="001B122A" w:rsidP="00DF7B50">
      <w:pPr>
        <w:rPr>
          <w:szCs w:val="22"/>
        </w:rPr>
      </w:pPr>
      <w:r>
        <w:rPr>
          <w:szCs w:val="22"/>
        </w:rPr>
        <w:t xml:space="preserve">The alternative scenario for the GEF project is based on the assumption that combined action will enable the authorities to push forward a reorganization of bus routes towards the SITRAMSS 3 scenario. The absence of investment finance committed to the Project </w:t>
      </w:r>
      <w:r w:rsidR="00CA052D">
        <w:rPr>
          <w:szCs w:val="22"/>
        </w:rPr>
        <w:t>inhibits the generation of direct GHG benefits by procurement of new SITRAMSS vehicles. At PIF stage, such investment was assumed. However, “soft action” is expected to translate into a reduction of conventional buses and microbuses</w:t>
      </w:r>
      <w:r w:rsidR="00237720">
        <w:rPr>
          <w:szCs w:val="22"/>
        </w:rPr>
        <w:t xml:space="preserve"> as follows. </w:t>
      </w:r>
      <w:r w:rsidR="00CA052D">
        <w:rPr>
          <w:szCs w:val="22"/>
        </w:rPr>
        <w:t xml:space="preserve">The already purchased 21 “padrons” are 15% of the anticipated number of 138 units. Without fresh investment, re-routing </w:t>
      </w:r>
      <w:r w:rsidR="00AA14F5">
        <w:rPr>
          <w:szCs w:val="22"/>
        </w:rPr>
        <w:t>will arguably result in a proportional reduction in conventional units</w:t>
      </w:r>
      <w:r w:rsidR="00237720">
        <w:rPr>
          <w:szCs w:val="22"/>
        </w:rPr>
        <w:t xml:space="preserve"> and their annual usage rates.</w:t>
      </w:r>
    </w:p>
    <w:p w:rsidR="00AA14F5" w:rsidRDefault="00AA14F5" w:rsidP="00DF7B50">
      <w:pPr>
        <w:rPr>
          <w:szCs w:val="22"/>
        </w:rPr>
      </w:pPr>
    </w:p>
    <w:p w:rsidR="00AA14F5" w:rsidRDefault="00AA14F5" w:rsidP="00AA14F5">
      <w:pPr>
        <w:pStyle w:val="ListParagraph"/>
        <w:numPr>
          <w:ilvl w:val="0"/>
          <w:numId w:val="6"/>
        </w:numPr>
        <w:rPr>
          <w:szCs w:val="22"/>
        </w:rPr>
      </w:pPr>
      <w:r w:rsidRPr="00AA14F5">
        <w:rPr>
          <w:szCs w:val="22"/>
        </w:rPr>
        <w:t>N_buses = N_baseline-15%*(N_baseline – N_SITRAMSS 3) = 649 – 15%*(649-340) = 602; a reduction of 47 units;</w:t>
      </w:r>
      <w:r w:rsidR="00237720">
        <w:rPr>
          <w:szCs w:val="22"/>
        </w:rPr>
        <w:t xml:space="preserve"> D_buses = 40,935 – 15%*(40,935-34,906) = 40,031 km/yr;</w:t>
      </w:r>
    </w:p>
    <w:p w:rsidR="00AA14F5" w:rsidRPr="00AA14F5" w:rsidRDefault="00AA14F5" w:rsidP="00AA14F5">
      <w:pPr>
        <w:pStyle w:val="ListParagraph"/>
        <w:numPr>
          <w:ilvl w:val="0"/>
          <w:numId w:val="6"/>
        </w:numPr>
        <w:rPr>
          <w:szCs w:val="22"/>
        </w:rPr>
      </w:pPr>
      <w:r w:rsidRPr="00AA14F5">
        <w:rPr>
          <w:szCs w:val="22"/>
        </w:rPr>
        <w:t>N_micro = 493 – 15%*(493-332) = 468; a reduction of 25 units.</w:t>
      </w:r>
      <w:r w:rsidR="00237720">
        <w:rPr>
          <w:szCs w:val="22"/>
        </w:rPr>
        <w:t xml:space="preserve"> D_micro = 68,664 – 15%*(68,664-34,247) = 63,501 km/yr.</w:t>
      </w:r>
    </w:p>
    <w:p w:rsidR="00237720" w:rsidRDefault="00237720" w:rsidP="00DF7B50">
      <w:pPr>
        <w:rPr>
          <w:szCs w:val="22"/>
        </w:rPr>
      </w:pPr>
    </w:p>
    <w:p w:rsidR="00AA14F5" w:rsidRDefault="00AA14F5" w:rsidP="00DF7B50">
      <w:pPr>
        <w:rPr>
          <w:szCs w:val="22"/>
        </w:rPr>
      </w:pPr>
      <w:r>
        <w:rPr>
          <w:szCs w:val="22"/>
        </w:rPr>
        <w:t xml:space="preserve">Then the </w:t>
      </w:r>
      <w:r w:rsidR="00237720">
        <w:rPr>
          <w:szCs w:val="22"/>
        </w:rPr>
        <w:t xml:space="preserve">SITRAMSS 2018 </w:t>
      </w:r>
      <w:r>
        <w:rPr>
          <w:szCs w:val="22"/>
        </w:rPr>
        <w:t>scenario will look as follows:</w:t>
      </w:r>
    </w:p>
    <w:p w:rsidR="00AA14F5" w:rsidRDefault="00AA14F5" w:rsidP="00DF7B50">
      <w:pPr>
        <w:rPr>
          <w:szCs w:val="22"/>
        </w:rPr>
      </w:pPr>
    </w:p>
    <w:tbl>
      <w:tblPr>
        <w:tblW w:w="8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2336"/>
        <w:gridCol w:w="976"/>
        <w:gridCol w:w="1256"/>
        <w:gridCol w:w="1256"/>
        <w:gridCol w:w="1173"/>
        <w:gridCol w:w="1276"/>
      </w:tblGrid>
      <w:tr w:rsidR="00AA14F5" w:rsidRPr="00D9553A" w:rsidTr="00382A29">
        <w:trPr>
          <w:trHeight w:val="240"/>
        </w:trPr>
        <w:tc>
          <w:tcPr>
            <w:tcW w:w="8273" w:type="dxa"/>
            <w:gridSpan w:val="6"/>
            <w:shd w:val="clear" w:color="auto" w:fill="D9D9D9" w:themeFill="background1" w:themeFillShade="D9"/>
            <w:noWrap/>
            <w:vAlign w:val="center"/>
            <w:hideMark/>
          </w:tcPr>
          <w:p w:rsidR="00AA14F5" w:rsidRPr="00D9553A" w:rsidRDefault="00AA14F5" w:rsidP="00AA14F5">
            <w:pPr>
              <w:spacing w:after="0"/>
              <w:jc w:val="center"/>
              <w:rPr>
                <w:rFonts w:ascii="Times New Roman" w:eastAsia="Times New Roman" w:hAnsi="Times New Roman"/>
                <w:smallCaps/>
                <w:szCs w:val="20"/>
                <w:lang w:val="en-GB" w:eastAsia="en-GB"/>
              </w:rPr>
            </w:pPr>
            <w:r w:rsidRPr="00D9553A">
              <w:rPr>
                <w:rFonts w:eastAsia="Times New Roman" w:cs="Calibri"/>
                <w:smallCaps/>
                <w:color w:val="000000"/>
                <w:szCs w:val="18"/>
                <w:lang w:val="en-GB" w:eastAsia="en-GB"/>
              </w:rPr>
              <w:t>SITRAMS</w:t>
            </w:r>
            <w:r>
              <w:rPr>
                <w:rFonts w:eastAsia="Times New Roman" w:cs="Calibri"/>
                <w:smallCaps/>
                <w:color w:val="000000"/>
                <w:szCs w:val="18"/>
                <w:lang w:val="en-GB" w:eastAsia="en-GB"/>
              </w:rPr>
              <w:t>S</w:t>
            </w:r>
            <w:r w:rsidRPr="00D9553A">
              <w:rPr>
                <w:rFonts w:eastAsia="Times New Roman" w:cs="Calibri"/>
                <w:smallCaps/>
                <w:color w:val="000000"/>
                <w:szCs w:val="18"/>
                <w:lang w:val="en-GB" w:eastAsia="en-GB"/>
              </w:rPr>
              <w:t xml:space="preserve"> </w:t>
            </w:r>
            <w:r>
              <w:rPr>
                <w:rFonts w:eastAsia="Times New Roman" w:cs="Calibri"/>
                <w:smallCaps/>
                <w:color w:val="000000"/>
                <w:szCs w:val="18"/>
                <w:lang w:val="en-GB" w:eastAsia="en-GB"/>
              </w:rPr>
              <w:t>– Estimated scenario 2018</w:t>
            </w:r>
          </w:p>
        </w:tc>
      </w:tr>
      <w:tr w:rsidR="00AA14F5" w:rsidRPr="00D9553A" w:rsidTr="00382A29">
        <w:trPr>
          <w:trHeight w:val="240"/>
        </w:trPr>
        <w:tc>
          <w:tcPr>
            <w:tcW w:w="2336" w:type="dxa"/>
            <w:vMerge w:val="restart"/>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Cs w:val="18"/>
                <w:lang w:val="en-GB" w:eastAsia="en-GB"/>
              </w:rPr>
              <w:t>Vehicle type</w:t>
            </w:r>
          </w:p>
        </w:tc>
        <w:tc>
          <w:tcPr>
            <w:tcW w:w="97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Number</w:t>
            </w:r>
          </w:p>
        </w:tc>
        <w:tc>
          <w:tcPr>
            <w:tcW w:w="125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total distance</w:t>
            </w:r>
          </w:p>
        </w:tc>
        <w:tc>
          <w:tcPr>
            <w:tcW w:w="125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total per unit</w:t>
            </w:r>
          </w:p>
        </w:tc>
        <w:tc>
          <w:tcPr>
            <w:tcW w:w="1173"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Specific fuel use</w:t>
            </w:r>
          </w:p>
        </w:tc>
        <w:tc>
          <w:tcPr>
            <w:tcW w:w="127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Cs w:val="18"/>
                <w:lang w:val="en-GB" w:eastAsia="en-GB"/>
              </w:rPr>
            </w:pPr>
            <w:r w:rsidRPr="00D9553A">
              <w:rPr>
                <w:rFonts w:eastAsia="Times New Roman" w:cs="Calibri"/>
                <w:color w:val="000000"/>
                <w:szCs w:val="18"/>
                <w:lang w:val="en-GB" w:eastAsia="en-GB"/>
              </w:rPr>
              <w:t>Annual fuel use</w:t>
            </w:r>
          </w:p>
        </w:tc>
      </w:tr>
      <w:tr w:rsidR="00AA14F5" w:rsidRPr="00D9553A" w:rsidTr="00382A29">
        <w:trPr>
          <w:trHeight w:val="240"/>
        </w:trPr>
        <w:tc>
          <w:tcPr>
            <w:tcW w:w="2336" w:type="dxa"/>
            <w:vMerge/>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p>
        </w:tc>
        <w:tc>
          <w:tcPr>
            <w:tcW w:w="97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w:t>
            </w:r>
          </w:p>
        </w:tc>
        <w:tc>
          <w:tcPr>
            <w:tcW w:w="125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(km/yr)</w:t>
            </w:r>
          </w:p>
        </w:tc>
        <w:tc>
          <w:tcPr>
            <w:tcW w:w="125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(km/yr)</w:t>
            </w:r>
          </w:p>
        </w:tc>
        <w:tc>
          <w:tcPr>
            <w:tcW w:w="1173"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(l/km)</w:t>
            </w:r>
          </w:p>
        </w:tc>
        <w:tc>
          <w:tcPr>
            <w:tcW w:w="1276" w:type="dxa"/>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(l/yr)</w:t>
            </w:r>
          </w:p>
        </w:tc>
      </w:tr>
      <w:tr w:rsidR="00AA14F5" w:rsidRPr="00D9553A" w:rsidTr="00382A29">
        <w:trPr>
          <w:trHeight w:val="240"/>
        </w:trPr>
        <w:tc>
          <w:tcPr>
            <w:tcW w:w="8273" w:type="dxa"/>
            <w:gridSpan w:val="6"/>
            <w:shd w:val="clear" w:color="auto" w:fill="F2F2F2" w:themeFill="background1" w:themeFillShade="F2"/>
            <w:noWrap/>
            <w:vAlign w:val="center"/>
          </w:tcPr>
          <w:p w:rsidR="00AA14F5" w:rsidRPr="00D9553A" w:rsidRDefault="00AA14F5" w:rsidP="00382A29">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 xml:space="preserve">Annual Diesel Fuel consumption under </w:t>
            </w:r>
            <w:r w:rsidRPr="00D9553A">
              <w:rPr>
                <w:rFonts w:eastAsia="Times New Roman" w:cs="Calibri"/>
                <w:smallCaps/>
                <w:color w:val="000000"/>
                <w:sz w:val="18"/>
                <w:szCs w:val="18"/>
                <w:lang w:val="en-GB" w:eastAsia="en-GB"/>
              </w:rPr>
              <w:t>SITRAMSS 3 Scenario (2014)</w:t>
            </w:r>
          </w:p>
        </w:tc>
      </w:tr>
      <w:tr w:rsidR="00AA14F5" w:rsidRPr="00D9553A" w:rsidTr="00382A29">
        <w:trPr>
          <w:trHeight w:val="240"/>
        </w:trPr>
        <w:tc>
          <w:tcPr>
            <w:tcW w:w="233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articulated (T1)</w:t>
            </w:r>
          </w:p>
        </w:tc>
        <w:tc>
          <w:tcPr>
            <w:tcW w:w="97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16</w:t>
            </w:r>
          </w:p>
        </w:tc>
        <w:tc>
          <w:tcPr>
            <w:tcW w:w="1256" w:type="dxa"/>
            <w:shd w:val="clear" w:color="auto" w:fill="auto"/>
            <w:noWrap/>
            <w:vAlign w:val="center"/>
            <w:hideMark/>
          </w:tcPr>
          <w:p w:rsidR="00AA14F5" w:rsidRPr="00D9553A" w:rsidRDefault="00F546C3"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981,955</w:t>
            </w:r>
          </w:p>
        </w:tc>
        <w:tc>
          <w:tcPr>
            <w:tcW w:w="125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61,372</w:t>
            </w:r>
          </w:p>
        </w:tc>
        <w:tc>
          <w:tcPr>
            <w:tcW w:w="1173"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0.5</w:t>
            </w:r>
          </w:p>
        </w:tc>
        <w:tc>
          <w:tcPr>
            <w:tcW w:w="1276" w:type="dxa"/>
            <w:shd w:val="clear" w:color="auto" w:fill="auto"/>
            <w:noWrap/>
            <w:vAlign w:val="center"/>
            <w:hideMark/>
          </w:tcPr>
          <w:p w:rsidR="00AA14F5" w:rsidRPr="00D9553A" w:rsidRDefault="00F546C3"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490,977</w:t>
            </w:r>
          </w:p>
        </w:tc>
      </w:tr>
      <w:tr w:rsidR="00AA14F5" w:rsidRPr="00D9553A" w:rsidTr="00382A29">
        <w:trPr>
          <w:trHeight w:val="240"/>
        </w:trPr>
        <w:tc>
          <w:tcPr>
            <w:tcW w:w="2336" w:type="dxa"/>
            <w:shd w:val="clear" w:color="auto" w:fill="auto"/>
            <w:noWrap/>
            <w:vAlign w:val="center"/>
            <w:hideMark/>
          </w:tcPr>
          <w:p w:rsidR="00AA14F5" w:rsidRPr="00D9553A" w:rsidRDefault="00AA14F5" w:rsidP="00F546C3">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SITRAMSS short</w:t>
            </w:r>
          </w:p>
        </w:tc>
        <w:tc>
          <w:tcPr>
            <w:tcW w:w="97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2</w:t>
            </w:r>
            <w:r w:rsidR="00F546C3">
              <w:rPr>
                <w:rFonts w:eastAsia="Times New Roman" w:cs="Calibri"/>
                <w:color w:val="000000"/>
                <w:sz w:val="18"/>
                <w:szCs w:val="18"/>
                <w:lang w:val="en-GB" w:eastAsia="en-GB"/>
              </w:rPr>
              <w:t>1</w:t>
            </w:r>
          </w:p>
        </w:tc>
        <w:tc>
          <w:tcPr>
            <w:tcW w:w="1256" w:type="dxa"/>
            <w:shd w:val="clear" w:color="auto" w:fill="auto"/>
            <w:noWrap/>
            <w:vAlign w:val="center"/>
            <w:hideMark/>
          </w:tcPr>
          <w:p w:rsidR="00AA14F5" w:rsidRPr="00D9553A" w:rsidRDefault="00F546C3"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1,239,071</w:t>
            </w:r>
          </w:p>
        </w:tc>
        <w:tc>
          <w:tcPr>
            <w:tcW w:w="125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59,003</w:t>
            </w:r>
          </w:p>
        </w:tc>
        <w:tc>
          <w:tcPr>
            <w:tcW w:w="1173"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0.37</w:t>
            </w:r>
          </w:p>
        </w:tc>
        <w:tc>
          <w:tcPr>
            <w:tcW w:w="1276" w:type="dxa"/>
            <w:shd w:val="clear" w:color="auto" w:fill="auto"/>
            <w:noWrap/>
            <w:vAlign w:val="center"/>
            <w:hideMark/>
          </w:tcPr>
          <w:p w:rsidR="00AA14F5" w:rsidRPr="00D9553A" w:rsidRDefault="00F546C3"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458,456</w:t>
            </w:r>
          </w:p>
        </w:tc>
      </w:tr>
      <w:tr w:rsidR="00AA14F5" w:rsidRPr="00D9553A" w:rsidTr="00382A29">
        <w:trPr>
          <w:trHeight w:val="240"/>
        </w:trPr>
        <w:tc>
          <w:tcPr>
            <w:tcW w:w="233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Re-used buses</w:t>
            </w:r>
          </w:p>
        </w:tc>
        <w:tc>
          <w:tcPr>
            <w:tcW w:w="976" w:type="dxa"/>
            <w:shd w:val="clear" w:color="auto" w:fill="auto"/>
            <w:noWrap/>
            <w:vAlign w:val="center"/>
            <w:hideMark/>
          </w:tcPr>
          <w:p w:rsidR="00AA14F5" w:rsidRPr="00D9553A" w:rsidRDefault="00F546C3"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602</w:t>
            </w:r>
          </w:p>
        </w:tc>
        <w:tc>
          <w:tcPr>
            <w:tcW w:w="125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24,098,451</w:t>
            </w:r>
          </w:p>
        </w:tc>
        <w:tc>
          <w:tcPr>
            <w:tcW w:w="125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40,031</w:t>
            </w:r>
          </w:p>
        </w:tc>
        <w:tc>
          <w:tcPr>
            <w:tcW w:w="1173"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0.32</w:t>
            </w:r>
          </w:p>
        </w:tc>
        <w:tc>
          <w:tcPr>
            <w:tcW w:w="127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7,711,504</w:t>
            </w:r>
          </w:p>
        </w:tc>
      </w:tr>
      <w:tr w:rsidR="00AA14F5" w:rsidRPr="00D9553A" w:rsidTr="00382A29">
        <w:trPr>
          <w:trHeight w:val="240"/>
        </w:trPr>
        <w:tc>
          <w:tcPr>
            <w:tcW w:w="2336"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Re-used microbuses</w:t>
            </w:r>
          </w:p>
        </w:tc>
        <w:tc>
          <w:tcPr>
            <w:tcW w:w="976" w:type="dxa"/>
            <w:shd w:val="clear" w:color="auto" w:fill="auto"/>
            <w:noWrap/>
            <w:vAlign w:val="center"/>
            <w:hideMark/>
          </w:tcPr>
          <w:p w:rsidR="00AA14F5" w:rsidRPr="00D9553A" w:rsidRDefault="00F546C3"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468</w:t>
            </w:r>
          </w:p>
        </w:tc>
        <w:tc>
          <w:tcPr>
            <w:tcW w:w="125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29,718,679</w:t>
            </w:r>
          </w:p>
        </w:tc>
        <w:tc>
          <w:tcPr>
            <w:tcW w:w="125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63,501</w:t>
            </w:r>
          </w:p>
        </w:tc>
        <w:tc>
          <w:tcPr>
            <w:tcW w:w="1173" w:type="dxa"/>
            <w:shd w:val="clear" w:color="auto" w:fill="auto"/>
            <w:noWrap/>
            <w:vAlign w:val="center"/>
            <w:hideMark/>
          </w:tcPr>
          <w:p w:rsidR="00AA14F5" w:rsidRPr="00D9553A" w:rsidRDefault="00AA14F5" w:rsidP="00382A29">
            <w:pPr>
              <w:spacing w:after="0"/>
              <w:jc w:val="center"/>
              <w:rPr>
                <w:rFonts w:eastAsia="Times New Roman" w:cs="Calibri"/>
                <w:color w:val="000000"/>
                <w:sz w:val="18"/>
                <w:szCs w:val="18"/>
                <w:lang w:val="en-GB" w:eastAsia="en-GB"/>
              </w:rPr>
            </w:pPr>
            <w:r w:rsidRPr="00D9553A">
              <w:rPr>
                <w:rFonts w:eastAsia="Times New Roman" w:cs="Calibri"/>
                <w:color w:val="000000"/>
                <w:sz w:val="18"/>
                <w:szCs w:val="18"/>
                <w:lang w:val="en-GB" w:eastAsia="en-GB"/>
              </w:rPr>
              <w:t>0.25</w:t>
            </w:r>
          </w:p>
        </w:tc>
        <w:tc>
          <w:tcPr>
            <w:tcW w:w="127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7,429,670</w:t>
            </w:r>
          </w:p>
        </w:tc>
      </w:tr>
      <w:tr w:rsidR="00AA14F5" w:rsidRPr="00D9553A" w:rsidTr="00382A29">
        <w:trPr>
          <w:trHeight w:val="240"/>
        </w:trPr>
        <w:tc>
          <w:tcPr>
            <w:tcW w:w="2336" w:type="dxa"/>
            <w:shd w:val="clear" w:color="auto" w:fill="auto"/>
            <w:noWrap/>
            <w:vAlign w:val="center"/>
            <w:hideMark/>
          </w:tcPr>
          <w:p w:rsidR="00AA14F5" w:rsidRPr="00D9553A" w:rsidRDefault="00AA14F5" w:rsidP="00382A29">
            <w:pPr>
              <w:spacing w:after="0"/>
              <w:jc w:val="center"/>
              <w:rPr>
                <w:rFonts w:eastAsia="Times New Roman" w:cs="Calibri"/>
                <w:bCs/>
                <w:color w:val="000000"/>
                <w:sz w:val="18"/>
                <w:szCs w:val="18"/>
                <w:lang w:val="en-GB" w:eastAsia="en-GB"/>
              </w:rPr>
            </w:pPr>
            <w:r w:rsidRPr="00D9553A">
              <w:rPr>
                <w:rFonts w:eastAsia="Times New Roman" w:cs="Calibri"/>
                <w:bCs/>
                <w:color w:val="000000"/>
                <w:sz w:val="18"/>
                <w:szCs w:val="18"/>
                <w:lang w:val="en-GB" w:eastAsia="en-GB"/>
              </w:rPr>
              <w:t>TOTAL</w:t>
            </w:r>
          </w:p>
        </w:tc>
        <w:tc>
          <w:tcPr>
            <w:tcW w:w="976" w:type="dxa"/>
            <w:shd w:val="clear" w:color="auto" w:fill="auto"/>
            <w:noWrap/>
            <w:vAlign w:val="center"/>
            <w:hideMark/>
          </w:tcPr>
          <w:p w:rsidR="00AA14F5" w:rsidRPr="00D9553A" w:rsidRDefault="00F546C3" w:rsidP="00382A29">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1,107</w:t>
            </w:r>
          </w:p>
        </w:tc>
        <w:tc>
          <w:tcPr>
            <w:tcW w:w="1256" w:type="dxa"/>
            <w:shd w:val="clear" w:color="auto" w:fill="auto"/>
            <w:noWrap/>
            <w:vAlign w:val="center"/>
            <w:hideMark/>
          </w:tcPr>
          <w:p w:rsidR="00AA14F5" w:rsidRPr="00D9553A" w:rsidRDefault="00237720" w:rsidP="00382A29">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56,038,156</w:t>
            </w:r>
          </w:p>
        </w:tc>
        <w:tc>
          <w:tcPr>
            <w:tcW w:w="1256" w:type="dxa"/>
            <w:shd w:val="clear" w:color="auto" w:fill="auto"/>
            <w:noWrap/>
            <w:vAlign w:val="center"/>
            <w:hideMark/>
          </w:tcPr>
          <w:p w:rsidR="00AA14F5" w:rsidRPr="00D9553A" w:rsidRDefault="00AA14F5" w:rsidP="00382A29">
            <w:pPr>
              <w:spacing w:after="0"/>
              <w:jc w:val="center"/>
              <w:rPr>
                <w:rFonts w:eastAsia="Times New Roman" w:cs="Calibri"/>
                <w:bCs/>
                <w:color w:val="000000"/>
                <w:sz w:val="18"/>
                <w:szCs w:val="18"/>
                <w:lang w:val="en-GB" w:eastAsia="en-GB"/>
              </w:rPr>
            </w:pPr>
          </w:p>
        </w:tc>
        <w:tc>
          <w:tcPr>
            <w:tcW w:w="1173" w:type="dxa"/>
            <w:shd w:val="clear" w:color="auto" w:fill="auto"/>
            <w:noWrap/>
            <w:vAlign w:val="center"/>
            <w:hideMark/>
          </w:tcPr>
          <w:p w:rsidR="00AA14F5" w:rsidRPr="00D9553A" w:rsidRDefault="00AA14F5" w:rsidP="00382A29">
            <w:pPr>
              <w:spacing w:after="0"/>
              <w:jc w:val="center"/>
              <w:rPr>
                <w:rFonts w:eastAsia="Times New Roman" w:cs="Calibri"/>
                <w:bCs/>
                <w:color w:val="000000"/>
                <w:sz w:val="18"/>
                <w:szCs w:val="18"/>
                <w:lang w:val="en-GB" w:eastAsia="en-GB"/>
              </w:rPr>
            </w:pPr>
          </w:p>
        </w:tc>
        <w:tc>
          <w:tcPr>
            <w:tcW w:w="1276" w:type="dxa"/>
            <w:shd w:val="clear" w:color="auto" w:fill="auto"/>
            <w:noWrap/>
            <w:vAlign w:val="center"/>
            <w:hideMark/>
          </w:tcPr>
          <w:p w:rsidR="00AA14F5" w:rsidRPr="00D9553A" w:rsidRDefault="00237720" w:rsidP="00382A29">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16,090,608</w:t>
            </w:r>
          </w:p>
        </w:tc>
      </w:tr>
      <w:tr w:rsidR="00AA14F5" w:rsidRPr="00D9553A" w:rsidTr="00382A29">
        <w:trPr>
          <w:trHeight w:val="240"/>
        </w:trPr>
        <w:tc>
          <w:tcPr>
            <w:tcW w:w="8273" w:type="dxa"/>
            <w:gridSpan w:val="6"/>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 xml:space="preserve">Annual Fuel Savings under </w:t>
            </w:r>
            <w:r w:rsidRPr="00D9553A">
              <w:rPr>
                <w:rFonts w:eastAsia="Times New Roman" w:cs="Calibri"/>
                <w:smallCaps/>
                <w:color w:val="000000"/>
                <w:sz w:val="18"/>
                <w:szCs w:val="18"/>
                <w:lang w:val="en-GB" w:eastAsia="en-GB"/>
              </w:rPr>
              <w:t>SITRAMSS 3 Scenario (2014)</w:t>
            </w:r>
          </w:p>
        </w:tc>
      </w:tr>
      <w:tr w:rsidR="00AA14F5" w:rsidRPr="00D9553A" w:rsidTr="00382A29">
        <w:trPr>
          <w:trHeight w:val="240"/>
        </w:trPr>
        <w:tc>
          <w:tcPr>
            <w:tcW w:w="6997" w:type="dxa"/>
            <w:gridSpan w:val="5"/>
            <w:shd w:val="clear" w:color="auto" w:fill="auto"/>
            <w:noWrap/>
            <w:vAlign w:val="center"/>
            <w:hideMark/>
          </w:tcPr>
          <w:p w:rsidR="00AA14F5" w:rsidRPr="00C67223" w:rsidRDefault="00AA14F5" w:rsidP="00382A29">
            <w:pPr>
              <w:spacing w:after="0"/>
              <w:jc w:val="center"/>
              <w:rPr>
                <w:rFonts w:ascii="Times New Roman" w:eastAsia="Times New Roman" w:hAnsi="Times New Roman"/>
                <w:szCs w:val="20"/>
                <w:lang w:eastAsia="en-GB"/>
              </w:rPr>
            </w:pPr>
            <w:r w:rsidRPr="00D9553A">
              <w:rPr>
                <w:rFonts w:eastAsia="Times New Roman" w:cs="Calibri"/>
                <w:color w:val="000000"/>
                <w:sz w:val="18"/>
                <w:szCs w:val="18"/>
                <w:lang w:val="en-GB" w:eastAsia="en-GB"/>
              </w:rPr>
              <w:t>Fuel savings</w:t>
            </w:r>
            <w:r>
              <w:rPr>
                <w:rFonts w:eastAsia="Times New Roman" w:cs="Calibri"/>
                <w:color w:val="000000"/>
                <w:sz w:val="18"/>
                <w:szCs w:val="18"/>
                <w:lang w:val="en-GB" w:eastAsia="en-GB"/>
              </w:rPr>
              <w:t xml:space="preserve"> (l/yr)</w:t>
            </w:r>
          </w:p>
        </w:tc>
        <w:tc>
          <w:tcPr>
            <w:tcW w:w="1276" w:type="dxa"/>
            <w:shd w:val="clear" w:color="auto" w:fill="auto"/>
            <w:noWrap/>
            <w:vAlign w:val="center"/>
            <w:hideMark/>
          </w:tcPr>
          <w:p w:rsidR="00AA14F5" w:rsidRPr="00D9553A" w:rsidRDefault="00237720" w:rsidP="00237720">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1</w:t>
            </w:r>
            <w:r w:rsidR="00AA14F5" w:rsidRPr="00D9553A">
              <w:rPr>
                <w:rFonts w:eastAsia="Times New Roman" w:cs="Calibri"/>
                <w:bCs/>
                <w:color w:val="000000"/>
                <w:sz w:val="18"/>
                <w:szCs w:val="18"/>
                <w:lang w:val="en-GB" w:eastAsia="en-GB"/>
              </w:rPr>
              <w:t>,</w:t>
            </w:r>
            <w:r>
              <w:rPr>
                <w:rFonts w:eastAsia="Times New Roman" w:cs="Calibri"/>
                <w:bCs/>
                <w:color w:val="000000"/>
                <w:sz w:val="18"/>
                <w:szCs w:val="18"/>
                <w:lang w:val="en-GB" w:eastAsia="en-GB"/>
              </w:rPr>
              <w:t>364</w:t>
            </w:r>
            <w:r w:rsidR="00AA14F5" w:rsidRPr="00D9553A">
              <w:rPr>
                <w:rFonts w:eastAsia="Times New Roman" w:cs="Calibri"/>
                <w:bCs/>
                <w:color w:val="000000"/>
                <w:sz w:val="18"/>
                <w:szCs w:val="18"/>
                <w:lang w:val="en-GB" w:eastAsia="en-GB"/>
              </w:rPr>
              <w:t>,</w:t>
            </w:r>
            <w:r>
              <w:rPr>
                <w:rFonts w:eastAsia="Times New Roman" w:cs="Calibri"/>
                <w:bCs/>
                <w:color w:val="000000"/>
                <w:sz w:val="18"/>
                <w:szCs w:val="18"/>
                <w:lang w:val="en-GB" w:eastAsia="en-GB"/>
              </w:rPr>
              <w:t>578</w:t>
            </w:r>
          </w:p>
        </w:tc>
      </w:tr>
      <w:tr w:rsidR="00AA14F5" w:rsidRPr="00D9553A" w:rsidTr="00382A29">
        <w:trPr>
          <w:trHeight w:val="240"/>
        </w:trPr>
        <w:tc>
          <w:tcPr>
            <w:tcW w:w="6997" w:type="dxa"/>
            <w:gridSpan w:val="5"/>
            <w:shd w:val="clear" w:color="auto" w:fill="auto"/>
            <w:noWrap/>
            <w:vAlign w:val="center"/>
            <w:hideMark/>
          </w:tcPr>
          <w:p w:rsidR="00AA14F5" w:rsidRPr="00D9553A" w:rsidRDefault="00AA14F5" w:rsidP="00382A29">
            <w:pPr>
              <w:spacing w:after="0"/>
              <w:jc w:val="center"/>
              <w:rPr>
                <w:rFonts w:ascii="Times New Roman" w:eastAsia="Times New Roman" w:hAnsi="Times New Roman"/>
                <w:szCs w:val="20"/>
                <w:lang w:val="en-GB" w:eastAsia="en-GB"/>
              </w:rPr>
            </w:pPr>
            <w:r w:rsidRPr="00D9553A">
              <w:rPr>
                <w:rFonts w:eastAsia="Times New Roman" w:cs="Calibri"/>
                <w:color w:val="000000"/>
                <w:sz w:val="18"/>
                <w:szCs w:val="18"/>
                <w:lang w:val="en-GB" w:eastAsia="en-GB"/>
              </w:rPr>
              <w:t>Monetary savings</w:t>
            </w:r>
            <w:r>
              <w:rPr>
                <w:rFonts w:eastAsia="Times New Roman" w:cs="Calibri"/>
                <w:color w:val="000000"/>
                <w:sz w:val="18"/>
                <w:szCs w:val="18"/>
                <w:lang w:val="en-GB" w:eastAsia="en-GB"/>
              </w:rPr>
              <w:t xml:space="preserve"> (US$/yr) (@ 0.93 USD/l)</w:t>
            </w:r>
          </w:p>
        </w:tc>
        <w:tc>
          <w:tcPr>
            <w:tcW w:w="1276" w:type="dxa"/>
            <w:shd w:val="clear" w:color="auto" w:fill="auto"/>
            <w:noWrap/>
            <w:vAlign w:val="center"/>
            <w:hideMark/>
          </w:tcPr>
          <w:p w:rsidR="00AA14F5" w:rsidRPr="00D9553A" w:rsidRDefault="00237720" w:rsidP="00382A29">
            <w:pPr>
              <w:spacing w:after="0"/>
              <w:jc w:val="center"/>
              <w:rPr>
                <w:rFonts w:eastAsia="Times New Roman" w:cs="Calibri"/>
                <w:color w:val="000000"/>
                <w:sz w:val="18"/>
                <w:szCs w:val="18"/>
                <w:lang w:val="en-GB" w:eastAsia="en-GB"/>
              </w:rPr>
            </w:pPr>
            <w:r>
              <w:rPr>
                <w:rFonts w:eastAsia="Times New Roman" w:cs="Calibri"/>
                <w:color w:val="000000"/>
                <w:sz w:val="18"/>
                <w:szCs w:val="18"/>
                <w:lang w:val="en-GB" w:eastAsia="en-GB"/>
              </w:rPr>
              <w:t>1,270,718</w:t>
            </w:r>
          </w:p>
        </w:tc>
      </w:tr>
      <w:tr w:rsidR="00AA14F5" w:rsidRPr="00D9553A" w:rsidTr="00382A29">
        <w:trPr>
          <w:trHeight w:val="240"/>
        </w:trPr>
        <w:tc>
          <w:tcPr>
            <w:tcW w:w="8273" w:type="dxa"/>
            <w:gridSpan w:val="6"/>
            <w:shd w:val="clear" w:color="auto" w:fill="D9D9D9" w:themeFill="background1" w:themeFillShade="D9"/>
            <w:noWrap/>
            <w:vAlign w:val="center"/>
            <w:hideMark/>
          </w:tcPr>
          <w:p w:rsidR="00AA14F5" w:rsidRPr="00D9553A" w:rsidRDefault="00AA14F5" w:rsidP="00382A29">
            <w:pPr>
              <w:spacing w:after="0"/>
              <w:jc w:val="center"/>
              <w:rPr>
                <w:rFonts w:eastAsia="Times New Roman" w:cs="Calibri"/>
                <w:smallCaps/>
                <w:color w:val="000000"/>
                <w:sz w:val="18"/>
                <w:szCs w:val="18"/>
                <w:lang w:val="en-GB" w:eastAsia="en-GB"/>
              </w:rPr>
            </w:pPr>
            <w:r>
              <w:rPr>
                <w:rFonts w:eastAsia="Times New Roman" w:cs="Calibri"/>
                <w:smallCaps/>
                <w:color w:val="000000"/>
                <w:sz w:val="18"/>
                <w:szCs w:val="18"/>
                <w:lang w:val="en-GB" w:eastAsia="en-GB"/>
              </w:rPr>
              <w:t xml:space="preserve">Annual GHG Emission Reductions  under </w:t>
            </w:r>
            <w:r w:rsidRPr="00D9553A">
              <w:rPr>
                <w:rFonts w:eastAsia="Times New Roman" w:cs="Calibri"/>
                <w:smallCaps/>
                <w:color w:val="000000"/>
                <w:sz w:val="18"/>
                <w:szCs w:val="18"/>
                <w:lang w:val="en-GB" w:eastAsia="en-GB"/>
              </w:rPr>
              <w:t>SITRAMSS 3 Scenario (2014)</w:t>
            </w:r>
          </w:p>
        </w:tc>
      </w:tr>
      <w:tr w:rsidR="00AA14F5" w:rsidRPr="00D9553A" w:rsidTr="00382A29">
        <w:trPr>
          <w:trHeight w:val="240"/>
        </w:trPr>
        <w:tc>
          <w:tcPr>
            <w:tcW w:w="6997" w:type="dxa"/>
            <w:gridSpan w:val="5"/>
            <w:shd w:val="clear" w:color="auto" w:fill="auto"/>
            <w:noWrap/>
            <w:vAlign w:val="center"/>
            <w:hideMark/>
          </w:tcPr>
          <w:p w:rsidR="00AA14F5" w:rsidRPr="00D9553A" w:rsidRDefault="00AA14F5" w:rsidP="00382A29">
            <w:pPr>
              <w:spacing w:after="0"/>
              <w:jc w:val="center"/>
              <w:rPr>
                <w:rFonts w:ascii="Times New Roman" w:eastAsia="Times New Roman" w:hAnsi="Times New Roman"/>
                <w:szCs w:val="20"/>
                <w:lang w:val="en-GB" w:eastAsia="en-GB"/>
              </w:rPr>
            </w:pPr>
            <w:r>
              <w:rPr>
                <w:rFonts w:eastAsia="Times New Roman" w:cs="Calibri"/>
                <w:color w:val="000000"/>
                <w:sz w:val="18"/>
                <w:szCs w:val="18"/>
                <w:lang w:val="en-GB" w:eastAsia="en-GB"/>
              </w:rPr>
              <w:t xml:space="preserve">GHG emissions reductions (tCO2e/yr)  (EF: 2.661 </w:t>
            </w:r>
            <w:r w:rsidRPr="00C67223">
              <w:rPr>
                <w:rFonts w:eastAsia="Times New Roman" w:cs="Calibri"/>
                <w:color w:val="000000"/>
                <w:sz w:val="18"/>
                <w:szCs w:val="18"/>
                <w:lang w:val="en-GB" w:eastAsia="en-GB"/>
              </w:rPr>
              <w:t>kg CO2e/l</w:t>
            </w:r>
            <w:r>
              <w:rPr>
                <w:rFonts w:eastAsia="Times New Roman" w:cs="Calibri"/>
                <w:color w:val="000000"/>
                <w:sz w:val="18"/>
                <w:szCs w:val="18"/>
                <w:lang w:val="en-GB" w:eastAsia="en-GB"/>
              </w:rPr>
              <w:t>)</w:t>
            </w:r>
          </w:p>
        </w:tc>
        <w:tc>
          <w:tcPr>
            <w:tcW w:w="1276" w:type="dxa"/>
            <w:shd w:val="clear" w:color="auto" w:fill="auto"/>
            <w:noWrap/>
            <w:vAlign w:val="center"/>
            <w:hideMark/>
          </w:tcPr>
          <w:p w:rsidR="00AA14F5" w:rsidRPr="00D9553A" w:rsidRDefault="00237720" w:rsidP="00382A29">
            <w:pPr>
              <w:spacing w:after="0"/>
              <w:jc w:val="center"/>
              <w:rPr>
                <w:rFonts w:eastAsia="Times New Roman" w:cs="Calibri"/>
                <w:bCs/>
                <w:color w:val="000000"/>
                <w:sz w:val="18"/>
                <w:szCs w:val="18"/>
                <w:lang w:val="en-GB" w:eastAsia="en-GB"/>
              </w:rPr>
            </w:pPr>
            <w:r>
              <w:rPr>
                <w:rFonts w:eastAsia="Times New Roman" w:cs="Calibri"/>
                <w:bCs/>
                <w:color w:val="000000"/>
                <w:sz w:val="18"/>
                <w:szCs w:val="18"/>
                <w:lang w:val="en-GB" w:eastAsia="en-GB"/>
              </w:rPr>
              <w:t>3,631</w:t>
            </w:r>
          </w:p>
        </w:tc>
      </w:tr>
    </w:tbl>
    <w:p w:rsidR="00AA14F5" w:rsidRDefault="00AA14F5" w:rsidP="00DF7B50">
      <w:pPr>
        <w:rPr>
          <w:szCs w:val="22"/>
        </w:rPr>
      </w:pPr>
    </w:p>
    <w:p w:rsidR="00DC4464" w:rsidRDefault="00DC4464" w:rsidP="00DF7B50">
      <w:pPr>
        <w:rPr>
          <w:szCs w:val="22"/>
        </w:rPr>
      </w:pPr>
      <w:r>
        <w:rPr>
          <w:szCs w:val="22"/>
        </w:rPr>
        <w:t>Over a 10-year period, simple extrapolation yields direct GHG emission reductions of the o</w:t>
      </w:r>
      <w:r w:rsidR="005D0182">
        <w:rPr>
          <w:szCs w:val="22"/>
        </w:rPr>
        <w:t>r</w:t>
      </w:r>
      <w:r>
        <w:rPr>
          <w:szCs w:val="22"/>
        </w:rPr>
        <w:t xml:space="preserve">der of 36 kton CO2e. </w:t>
      </w:r>
    </w:p>
    <w:p w:rsidR="003D06E6" w:rsidRDefault="003D06E6" w:rsidP="00DF7B50">
      <w:pPr>
        <w:rPr>
          <w:szCs w:val="22"/>
        </w:rPr>
      </w:pPr>
    </w:p>
    <w:p w:rsidR="003D06E6" w:rsidRDefault="003D06E6" w:rsidP="00DF7B50">
      <w:pPr>
        <w:rPr>
          <w:szCs w:val="22"/>
        </w:rPr>
      </w:pPr>
    </w:p>
    <w:p w:rsidR="005D0182" w:rsidRDefault="00DC4464" w:rsidP="00DF7B50">
      <w:pPr>
        <w:rPr>
          <w:szCs w:val="22"/>
        </w:rPr>
      </w:pPr>
      <w:r>
        <w:rPr>
          <w:szCs w:val="22"/>
        </w:rPr>
        <w:t>The GEF Project strives at establishing the enabling conditions: an adequate regulatory framework, a transparent business model, enforcement of the reorganization of the conventional buses and broad social acceptance. As such, upscaling to implement SITRAMSS Corridor I is claimed as post-project</w:t>
      </w:r>
      <w:r w:rsidR="005D0182">
        <w:rPr>
          <w:szCs w:val="22"/>
        </w:rPr>
        <w:t xml:space="preserve"> investment. The attained GHG emission reductions are then as estima</w:t>
      </w:r>
      <w:r w:rsidR="003651DF">
        <w:rPr>
          <w:szCs w:val="22"/>
        </w:rPr>
        <w:t>t</w:t>
      </w:r>
      <w:r w:rsidR="005D0182">
        <w:rPr>
          <w:szCs w:val="22"/>
        </w:rPr>
        <w:t xml:space="preserve">ed for scenario SITRAMSS 3 (17 kton CO2e per year, or 170 kton CO2e over a 10-year period). Summarizing: </w:t>
      </w:r>
    </w:p>
    <w:p w:rsidR="005D0182" w:rsidRPr="0098021E" w:rsidRDefault="005D0182" w:rsidP="005D0182">
      <w:pPr>
        <w:pStyle w:val="ListParagraph"/>
        <w:numPr>
          <w:ilvl w:val="0"/>
          <w:numId w:val="7"/>
        </w:numPr>
        <w:rPr>
          <w:b/>
          <w:szCs w:val="22"/>
        </w:rPr>
      </w:pPr>
      <w:r w:rsidRPr="0098021E">
        <w:rPr>
          <w:b/>
          <w:szCs w:val="22"/>
        </w:rPr>
        <w:t>Direct GHG emission reductions are 36 kton CO2e (over 10-year lifetime);</w:t>
      </w:r>
    </w:p>
    <w:p w:rsidR="005D0182" w:rsidRPr="005D0182" w:rsidRDefault="005D0182" w:rsidP="005D0182">
      <w:pPr>
        <w:pStyle w:val="ListParagraph"/>
        <w:numPr>
          <w:ilvl w:val="0"/>
          <w:numId w:val="7"/>
        </w:numPr>
        <w:rPr>
          <w:szCs w:val="22"/>
        </w:rPr>
      </w:pPr>
      <w:r w:rsidRPr="005D0182">
        <w:rPr>
          <w:szCs w:val="22"/>
        </w:rPr>
        <w:t>Indirect, post-project GHG emission reductions are 170 – 36 = 134 kton CO2e.</w:t>
      </w:r>
    </w:p>
    <w:p w:rsidR="005D0182" w:rsidRDefault="005D0182" w:rsidP="00DF7B50">
      <w:pPr>
        <w:rPr>
          <w:szCs w:val="22"/>
        </w:rPr>
      </w:pPr>
    </w:p>
    <w:p w:rsidR="00197682" w:rsidRDefault="00197682">
      <w:pPr>
        <w:spacing w:after="160" w:line="259" w:lineRule="auto"/>
        <w:jc w:val="left"/>
        <w:rPr>
          <w:szCs w:val="22"/>
        </w:rPr>
      </w:pPr>
      <w:r>
        <w:rPr>
          <w:szCs w:val="22"/>
        </w:rPr>
        <w:br w:type="page"/>
      </w:r>
    </w:p>
    <w:p w:rsidR="00BB5402" w:rsidRPr="00BB5402" w:rsidRDefault="003D06E6" w:rsidP="00BB5402">
      <w:pPr>
        <w:rPr>
          <w:b/>
          <w:szCs w:val="22"/>
          <w:u w:val="single"/>
        </w:rPr>
      </w:pPr>
      <w:r>
        <w:rPr>
          <w:b/>
          <w:szCs w:val="22"/>
          <w:u w:val="single"/>
        </w:rPr>
        <w:t>2</w:t>
      </w:r>
      <w:r w:rsidR="00BB5402">
        <w:rPr>
          <w:b/>
          <w:szCs w:val="22"/>
          <w:u w:val="single"/>
        </w:rPr>
        <w:t xml:space="preserve">. </w:t>
      </w:r>
      <w:r w:rsidR="004E7E40">
        <w:rPr>
          <w:b/>
          <w:szCs w:val="22"/>
          <w:u w:val="single"/>
        </w:rPr>
        <w:t>Greenhouse gas reductions from energy conservation in the public sector</w:t>
      </w:r>
    </w:p>
    <w:p w:rsidR="00197682" w:rsidRDefault="00197682" w:rsidP="00197682">
      <w:pPr>
        <w:spacing w:after="160" w:line="259" w:lineRule="auto"/>
        <w:rPr>
          <w:szCs w:val="22"/>
        </w:rPr>
      </w:pPr>
      <w:r>
        <w:rPr>
          <w:szCs w:val="22"/>
        </w:rPr>
        <w:t>The present assessment is based on a study commissioned by CNE and UNDP in 2014 under the GEF-4 EEPB project.</w:t>
      </w:r>
      <w:r>
        <w:rPr>
          <w:rStyle w:val="FootnoteReference"/>
          <w:szCs w:val="22"/>
        </w:rPr>
        <w:footnoteReference w:id="5"/>
      </w:r>
      <w:r>
        <w:rPr>
          <w:szCs w:val="22"/>
        </w:rPr>
        <w:t xml:space="preserve"> This study </w:t>
      </w:r>
      <w:r w:rsidR="00DD7E6C">
        <w:rPr>
          <w:szCs w:val="22"/>
        </w:rPr>
        <w:t xml:space="preserve">explores the potential for a NAMA for public buildings, public lighting and vehicles in use in the public sector, and </w:t>
      </w:r>
      <w:r>
        <w:rPr>
          <w:szCs w:val="22"/>
        </w:rPr>
        <w:t>provides a description of the baseline situation</w:t>
      </w:r>
      <w:r w:rsidR="00DD7E6C">
        <w:rPr>
          <w:szCs w:val="22"/>
        </w:rPr>
        <w:t xml:space="preserve"> and the effect of a series of specified interventions</w:t>
      </w:r>
      <w:r>
        <w:rPr>
          <w:szCs w:val="22"/>
        </w:rPr>
        <w:t xml:space="preserve">. Based on the latter, it is concluded that public vehicle use is of secondary relevance for municipalities as most are operated by central Government entities, </w:t>
      </w:r>
      <w:r w:rsidR="00DD7E6C">
        <w:rPr>
          <w:szCs w:val="22"/>
        </w:rPr>
        <w:t xml:space="preserve">most notably </w:t>
      </w:r>
      <w:r>
        <w:rPr>
          <w:szCs w:val="22"/>
        </w:rPr>
        <w:t xml:space="preserve">the National Civil Police (PNC).  </w:t>
      </w:r>
      <w:r w:rsidR="00DD7E6C">
        <w:rPr>
          <w:szCs w:val="22"/>
        </w:rPr>
        <w:t xml:space="preserve">The buildings are classified per Government entity but a </w:t>
      </w:r>
      <w:r>
        <w:rPr>
          <w:szCs w:val="22"/>
        </w:rPr>
        <w:t xml:space="preserve">precise classification of municipal buildings could not be made either at that time and is neither available today. For public lighting a fairly detailed baseline was produced as the inventory could be correlated with </w:t>
      </w:r>
      <w:r w:rsidR="0059112C">
        <w:rPr>
          <w:szCs w:val="22"/>
        </w:rPr>
        <w:t xml:space="preserve">billing </w:t>
      </w:r>
      <w:r>
        <w:rPr>
          <w:szCs w:val="22"/>
        </w:rPr>
        <w:t xml:space="preserve">data from the electricity distribution companies. </w:t>
      </w:r>
    </w:p>
    <w:p w:rsidR="002F522A" w:rsidRDefault="00197682" w:rsidP="00197682">
      <w:pPr>
        <w:spacing w:after="160" w:line="259" w:lineRule="auto"/>
        <w:rPr>
          <w:szCs w:val="22"/>
        </w:rPr>
      </w:pPr>
      <w:r>
        <w:rPr>
          <w:szCs w:val="22"/>
        </w:rPr>
        <w:t xml:space="preserve">It is noted that in 2014 no LED lighting was implemented; visual observation as of June 2018 however makes evident the use of LED lighting along major highways (San Salvador – Comalapa) and avenues in the AMSS. </w:t>
      </w:r>
      <w:r w:rsidR="009710EC">
        <w:rPr>
          <w:szCs w:val="22"/>
        </w:rPr>
        <w:t xml:space="preserve"> However, one can assume that little has been changed in the baseline for municipalities since 2013 as they lack access to finance for upgrading of public lighting.</w:t>
      </w:r>
    </w:p>
    <w:p w:rsidR="00197682" w:rsidRDefault="00197682" w:rsidP="00BB5402">
      <w:pPr>
        <w:spacing w:after="160" w:line="259" w:lineRule="auto"/>
        <w:jc w:val="left"/>
        <w:rPr>
          <w:szCs w:val="22"/>
        </w:rPr>
      </w:pPr>
    </w:p>
    <w:p w:rsidR="002F522A" w:rsidRPr="002F522A" w:rsidRDefault="002F522A" w:rsidP="00BB5402">
      <w:pPr>
        <w:spacing w:after="160" w:line="259" w:lineRule="auto"/>
        <w:jc w:val="left"/>
        <w:rPr>
          <w:szCs w:val="22"/>
          <w:u w:val="single"/>
        </w:rPr>
      </w:pPr>
      <w:r w:rsidRPr="002F522A">
        <w:rPr>
          <w:szCs w:val="22"/>
          <w:u w:val="single"/>
        </w:rPr>
        <w:t>Public buildings</w:t>
      </w:r>
    </w:p>
    <w:p w:rsidR="00EE3484" w:rsidRDefault="00EE3484" w:rsidP="0059112C">
      <w:pPr>
        <w:spacing w:after="160" w:line="259" w:lineRule="auto"/>
        <w:rPr>
          <w:szCs w:val="22"/>
        </w:rPr>
      </w:pPr>
      <w:r>
        <w:rPr>
          <w:szCs w:val="22"/>
        </w:rPr>
        <w:t xml:space="preserve">According to the 2011 Census, the </w:t>
      </w:r>
      <w:r w:rsidR="0059112C">
        <w:rPr>
          <w:szCs w:val="22"/>
        </w:rPr>
        <w:t xml:space="preserve">public administration counted 6,542 buildings covered by a total of 7,559 electricity connections. The buildings are distributed among 15 government sectors and 136 institutions. </w:t>
      </w:r>
      <w:r w:rsidR="00F00671">
        <w:rPr>
          <w:szCs w:val="22"/>
        </w:rPr>
        <w:t xml:space="preserve">The total consumption was estimated at 315,000 MWh/yr. </w:t>
      </w:r>
      <w:r w:rsidR="0059112C">
        <w:rPr>
          <w:szCs w:val="22"/>
        </w:rPr>
        <w:t>Only five sectors make up 76% of total energy consumption: Education, Public Health, Work and Social Prevention, National Defence, and Autonomous Entities. The major institutions within these sectors are the National Water and Sewage Administration (ANDA), the hospitals, the Ministry of Education (which operates school buildings) and the Autonomous Port Executive Commision (CEPA). In fact, ANDA accounts for 34% of total energy consumption (mainly for water pumping) and is the only one sourcing energy from the wholesale market.</w:t>
      </w:r>
    </w:p>
    <w:p w:rsidR="00F00671" w:rsidRDefault="00F00671" w:rsidP="00F00671">
      <w:pPr>
        <w:spacing w:after="160" w:line="259" w:lineRule="auto"/>
        <w:rPr>
          <w:szCs w:val="22"/>
        </w:rPr>
      </w:pPr>
      <w:r>
        <w:rPr>
          <w:szCs w:val="22"/>
        </w:rPr>
        <w:t>Recent figure</w:t>
      </w:r>
      <w:r w:rsidR="00B663DA">
        <w:rPr>
          <w:szCs w:val="22"/>
        </w:rPr>
        <w:t>s</w:t>
      </w:r>
      <w:r>
        <w:rPr>
          <w:szCs w:val="22"/>
        </w:rPr>
        <w:t xml:space="preserve"> provided by CNE indicate that, for the Central Government only, total energy consumption has remained fairly stable: 243,800 MWh/yr (2013) compared to 249,870 MWh/yr (2016). </w:t>
      </w:r>
      <w:r w:rsidR="00B663DA">
        <w:rPr>
          <w:szCs w:val="22"/>
        </w:rPr>
        <w:t xml:space="preserve">This suggests that also the overall baseline figure would not have changed significantly since 2014. </w:t>
      </w:r>
      <w:r>
        <w:rPr>
          <w:szCs w:val="22"/>
        </w:rPr>
        <w:t xml:space="preserve">Partly due to the reduction in oil prices in that period, total billing dropped from US$ </w:t>
      </w:r>
      <w:r w:rsidR="00B663DA">
        <w:rPr>
          <w:szCs w:val="22"/>
        </w:rPr>
        <w:t>53.7 mln (2013</w:t>
      </w:r>
      <w:r>
        <w:rPr>
          <w:szCs w:val="22"/>
        </w:rPr>
        <w:t xml:space="preserve">) </w:t>
      </w:r>
      <w:r w:rsidR="00B663DA">
        <w:rPr>
          <w:szCs w:val="22"/>
        </w:rPr>
        <w:t xml:space="preserve">to </w:t>
      </w:r>
      <w:r>
        <w:rPr>
          <w:szCs w:val="22"/>
        </w:rPr>
        <w:t>US$ 35.5</w:t>
      </w:r>
      <w:r w:rsidR="00B663DA">
        <w:rPr>
          <w:szCs w:val="22"/>
        </w:rPr>
        <w:t xml:space="preserve"> mln (2016</w:t>
      </w:r>
      <w:r>
        <w:rPr>
          <w:szCs w:val="22"/>
        </w:rPr>
        <w:t>)</w:t>
      </w:r>
      <w:r w:rsidR="00B663DA">
        <w:rPr>
          <w:szCs w:val="22"/>
        </w:rPr>
        <w:t xml:space="preserve"> however</w:t>
      </w:r>
      <w:r>
        <w:rPr>
          <w:szCs w:val="22"/>
        </w:rPr>
        <w:t xml:space="preserve">. </w:t>
      </w:r>
      <w:r w:rsidR="00DD7E6C">
        <w:rPr>
          <w:szCs w:val="22"/>
        </w:rPr>
        <w:t>In 2016, the unit cost for electricity purchased by the Central Government was:</w:t>
      </w:r>
    </w:p>
    <w:p w:rsidR="00E160FB" w:rsidRDefault="00DD7E6C" w:rsidP="00DD7E6C">
      <w:pPr>
        <w:spacing w:after="160" w:line="259" w:lineRule="auto"/>
        <w:ind w:firstLine="720"/>
        <w:rPr>
          <w:szCs w:val="22"/>
        </w:rPr>
      </w:pPr>
      <w:r>
        <w:rPr>
          <w:szCs w:val="22"/>
        </w:rPr>
        <w:t xml:space="preserve">= </w:t>
      </w:r>
      <w:r w:rsidR="00E160FB">
        <w:rPr>
          <w:szCs w:val="22"/>
        </w:rPr>
        <w:t xml:space="preserve">35,500,000 US$/249,870 MWh = </w:t>
      </w:r>
      <w:r w:rsidR="00E160FB" w:rsidRPr="00DD7E6C">
        <w:rPr>
          <w:b/>
          <w:szCs w:val="22"/>
        </w:rPr>
        <w:t>142 USD/MWh</w:t>
      </w:r>
      <w:r w:rsidR="00E160FB">
        <w:rPr>
          <w:szCs w:val="22"/>
        </w:rPr>
        <w:t>.</w:t>
      </w:r>
    </w:p>
    <w:p w:rsidR="0059112C" w:rsidRDefault="0059112C" w:rsidP="0059112C">
      <w:pPr>
        <w:spacing w:after="160" w:line="259" w:lineRule="auto"/>
        <w:rPr>
          <w:szCs w:val="22"/>
        </w:rPr>
      </w:pPr>
      <w:r>
        <w:rPr>
          <w:szCs w:val="22"/>
        </w:rPr>
        <w:t xml:space="preserve">Electricity billing in </w:t>
      </w:r>
      <w:r w:rsidR="00F00671">
        <w:rPr>
          <w:szCs w:val="22"/>
        </w:rPr>
        <w:t>larger buildings (above 300 kVA) is by measurement in the medium-voltage circuit (before the transformer) and in smaller buildiings (below 300 kVA) is by one or more electricity meters in the low-voltage circuit. The most important parameters composing the electricity bill are the cost charge per energy consumed and the distribution charge, which depend on the contracted power.</w:t>
      </w:r>
    </w:p>
    <w:p w:rsidR="009710EC" w:rsidRDefault="00FC651A" w:rsidP="0059112C">
      <w:pPr>
        <w:spacing w:after="160" w:line="259" w:lineRule="auto"/>
        <w:rPr>
          <w:szCs w:val="22"/>
        </w:rPr>
      </w:pPr>
      <w:r>
        <w:rPr>
          <w:szCs w:val="22"/>
        </w:rPr>
        <w:t>The following table</w:t>
      </w:r>
      <w:r w:rsidR="009710EC">
        <w:rPr>
          <w:szCs w:val="22"/>
        </w:rPr>
        <w:t xml:space="preserve"> present</w:t>
      </w:r>
      <w:r>
        <w:rPr>
          <w:szCs w:val="22"/>
        </w:rPr>
        <w:t>s</w:t>
      </w:r>
      <w:r w:rsidR="009710EC">
        <w:rPr>
          <w:szCs w:val="22"/>
        </w:rPr>
        <w:t xml:space="preserve"> an overview of electricity and fuel consumption in public buildings</w:t>
      </w:r>
      <w:r>
        <w:rPr>
          <w:szCs w:val="22"/>
        </w:rPr>
        <w:t xml:space="preserve"> per government sector</w:t>
      </w:r>
      <w:r w:rsidR="009710EC">
        <w:rPr>
          <w:szCs w:val="22"/>
        </w:rPr>
        <w:t>, as adapted from the previously mentioned NAMA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4A0" w:firstRow="1" w:lastRow="0" w:firstColumn="1" w:lastColumn="0" w:noHBand="0" w:noVBand="1"/>
      </w:tblPr>
      <w:tblGrid>
        <w:gridCol w:w="2107"/>
        <w:gridCol w:w="865"/>
        <w:gridCol w:w="851"/>
        <w:gridCol w:w="850"/>
        <w:gridCol w:w="992"/>
        <w:gridCol w:w="993"/>
        <w:gridCol w:w="707"/>
      </w:tblGrid>
      <w:tr w:rsidR="00FC651A" w:rsidRPr="009710EC" w:rsidTr="000B009B">
        <w:trPr>
          <w:trHeight w:val="240"/>
        </w:trPr>
        <w:tc>
          <w:tcPr>
            <w:tcW w:w="7365" w:type="dxa"/>
            <w:gridSpan w:val="7"/>
            <w:vAlign w:val="center"/>
            <w:hideMark/>
          </w:tcPr>
          <w:p w:rsidR="00FC651A" w:rsidRPr="00B45E1C" w:rsidRDefault="00FC651A" w:rsidP="000B009B">
            <w:pPr>
              <w:spacing w:after="0"/>
              <w:jc w:val="left"/>
              <w:rPr>
                <w:rFonts w:asciiTheme="minorHAnsi" w:eastAsia="Times New Roman" w:hAnsiTheme="minorHAnsi" w:cstheme="minorHAnsi"/>
                <w:smallCaps/>
                <w:color w:val="000000"/>
                <w:szCs w:val="20"/>
              </w:rPr>
            </w:pPr>
            <w:r w:rsidRPr="00B45E1C">
              <w:rPr>
                <w:rFonts w:asciiTheme="minorHAnsi" w:eastAsia="Times New Roman" w:hAnsiTheme="minorHAnsi" w:cstheme="minorHAnsi"/>
                <w:smallCaps/>
                <w:color w:val="000000"/>
                <w:szCs w:val="20"/>
              </w:rPr>
              <w:t>Fuel and electricity consumption per type of public end user</w:t>
            </w:r>
            <w:r>
              <w:rPr>
                <w:rStyle w:val="FootnoteReference"/>
                <w:rFonts w:asciiTheme="minorHAnsi" w:eastAsia="Times New Roman" w:hAnsiTheme="minorHAnsi" w:cstheme="minorHAnsi"/>
                <w:smallCaps/>
                <w:color w:val="000000"/>
                <w:szCs w:val="20"/>
              </w:rPr>
              <w:footnoteReference w:id="6"/>
            </w:r>
          </w:p>
        </w:tc>
      </w:tr>
      <w:tr w:rsidR="00FC651A" w:rsidRPr="009710EC" w:rsidTr="000B009B">
        <w:trPr>
          <w:trHeight w:val="255"/>
        </w:trPr>
        <w:tc>
          <w:tcPr>
            <w:tcW w:w="2107" w:type="dxa"/>
            <w:vMerge w:val="restart"/>
            <w:vAlign w:val="center"/>
          </w:tcPr>
          <w:p w:rsidR="00FC651A" w:rsidRPr="009710EC" w:rsidRDefault="00FC651A" w:rsidP="000B009B">
            <w:pPr>
              <w:spacing w:after="0"/>
              <w:jc w:val="left"/>
              <w:rPr>
                <w:rFonts w:asciiTheme="minorHAnsi" w:eastAsia="Times New Roman" w:hAnsiTheme="minorHAnsi" w:cstheme="minorHAnsi"/>
                <w:color w:val="000000"/>
                <w:sz w:val="18"/>
                <w:szCs w:val="20"/>
              </w:rPr>
            </w:pPr>
          </w:p>
        </w:tc>
        <w:tc>
          <w:tcPr>
            <w:tcW w:w="3558" w:type="dxa"/>
            <w:gridSpan w:val="4"/>
            <w:vAlign w:val="center"/>
          </w:tcPr>
          <w:p w:rsidR="00FC651A" w:rsidRPr="00FC651A" w:rsidRDefault="00FC651A" w:rsidP="000B009B">
            <w:pPr>
              <w:spacing w:after="0"/>
              <w:jc w:val="center"/>
              <w:rPr>
                <w:rFonts w:asciiTheme="minorHAnsi" w:eastAsia="Times New Roman" w:hAnsiTheme="minorHAnsi" w:cstheme="minorHAnsi"/>
                <w:smallCaps/>
                <w:color w:val="000000"/>
                <w:sz w:val="18"/>
                <w:szCs w:val="20"/>
              </w:rPr>
            </w:pPr>
            <w:r>
              <w:rPr>
                <w:rFonts w:asciiTheme="minorHAnsi" w:eastAsia="Times New Roman" w:hAnsiTheme="minorHAnsi" w:cstheme="minorHAnsi"/>
                <w:smallCaps/>
                <w:color w:val="000000"/>
                <w:sz w:val="18"/>
                <w:szCs w:val="20"/>
              </w:rPr>
              <w:t>Type of E</w:t>
            </w:r>
            <w:r w:rsidRPr="00FC651A">
              <w:rPr>
                <w:rFonts w:asciiTheme="minorHAnsi" w:eastAsia="Times New Roman" w:hAnsiTheme="minorHAnsi" w:cstheme="minorHAnsi"/>
                <w:smallCaps/>
                <w:color w:val="000000"/>
                <w:sz w:val="18"/>
                <w:szCs w:val="20"/>
              </w:rPr>
              <w:t>nergy</w:t>
            </w:r>
          </w:p>
        </w:tc>
        <w:tc>
          <w:tcPr>
            <w:tcW w:w="1700" w:type="dxa"/>
            <w:gridSpan w:val="2"/>
            <w:vMerge w:val="restart"/>
            <w:vAlign w:val="center"/>
          </w:tcPr>
          <w:p w:rsidR="00FC651A" w:rsidRPr="009710EC" w:rsidRDefault="00FC651A" w:rsidP="000B009B">
            <w:pPr>
              <w:spacing w:after="0"/>
              <w:jc w:val="center"/>
              <w:rPr>
                <w:rFonts w:asciiTheme="minorHAnsi" w:eastAsia="Times New Roman" w:hAnsiTheme="minorHAnsi" w:cstheme="minorHAnsi"/>
                <w:bCs/>
                <w:color w:val="000000"/>
                <w:sz w:val="18"/>
                <w:szCs w:val="20"/>
              </w:rPr>
            </w:pPr>
            <w:r w:rsidRPr="00B45E1C">
              <w:rPr>
                <w:rFonts w:asciiTheme="minorHAnsi" w:eastAsia="Times New Roman" w:hAnsiTheme="minorHAnsi" w:cstheme="minorHAnsi"/>
                <w:bCs/>
                <w:color w:val="000000"/>
                <w:sz w:val="18"/>
                <w:szCs w:val="20"/>
              </w:rPr>
              <w:t>Total</w:t>
            </w:r>
          </w:p>
        </w:tc>
      </w:tr>
      <w:tr w:rsidR="00FC651A" w:rsidRPr="009710EC" w:rsidTr="000B009B">
        <w:trPr>
          <w:trHeight w:val="255"/>
        </w:trPr>
        <w:tc>
          <w:tcPr>
            <w:tcW w:w="2107" w:type="dxa"/>
            <w:vMerge/>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LPG</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Diesel oil</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Gasoline</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Electric energy</w:t>
            </w:r>
          </w:p>
        </w:tc>
        <w:tc>
          <w:tcPr>
            <w:tcW w:w="1700" w:type="dxa"/>
            <w:gridSpan w:val="2"/>
            <w:vMerge/>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p>
        </w:tc>
      </w:tr>
      <w:tr w:rsidR="00FC651A" w:rsidRPr="009710EC" w:rsidTr="000B009B">
        <w:trPr>
          <w:trHeight w:val="240"/>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smallCaps/>
                <w:color w:val="000000"/>
                <w:sz w:val="18"/>
                <w:szCs w:val="20"/>
              </w:rPr>
            </w:pPr>
            <w:r w:rsidRPr="00FC651A">
              <w:rPr>
                <w:rFonts w:asciiTheme="minorHAnsi" w:eastAsia="Times New Roman" w:hAnsiTheme="minorHAnsi" w:cstheme="minorHAnsi"/>
                <w:smallCaps/>
                <w:color w:val="000000"/>
                <w:sz w:val="18"/>
                <w:szCs w:val="20"/>
              </w:rPr>
              <w:t>Government Sector</w:t>
            </w:r>
          </w:p>
        </w:tc>
        <w:tc>
          <w:tcPr>
            <w:tcW w:w="3558" w:type="dxa"/>
            <w:gridSpan w:val="4"/>
            <w:vAlign w:val="center"/>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(Mwh/yr)</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(Mwh/yr)</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w:t>
            </w:r>
          </w:p>
        </w:tc>
      </w:tr>
      <w:tr w:rsidR="00FC651A" w:rsidRPr="009710EC" w:rsidTr="000B009B">
        <w:trPr>
          <w:trHeight w:val="255"/>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Education</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9,605</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1,523</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337</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42,187</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55,469</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FC651A">
              <w:rPr>
                <w:rFonts w:asciiTheme="minorHAnsi" w:eastAsia="Times New Roman" w:hAnsiTheme="minorHAnsi" w:cstheme="minorHAnsi"/>
                <w:i/>
                <w:color w:val="000000"/>
                <w:sz w:val="18"/>
                <w:szCs w:val="20"/>
              </w:rPr>
              <w:t>16</w:t>
            </w:r>
            <w:r w:rsidRPr="00B45E1C">
              <w:rPr>
                <w:rFonts w:asciiTheme="minorHAnsi" w:eastAsia="Times New Roman" w:hAnsiTheme="minorHAnsi" w:cstheme="minorHAnsi"/>
                <w:i/>
                <w:color w:val="000000"/>
                <w:sz w:val="18"/>
                <w:szCs w:val="20"/>
              </w:rPr>
              <w:t>%</w:t>
            </w:r>
          </w:p>
        </w:tc>
      </w:tr>
      <w:tr w:rsidR="00FC651A" w:rsidRPr="009710EC" w:rsidTr="000B009B">
        <w:trPr>
          <w:trHeight w:val="255"/>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National Defense</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22,896</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1,907</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1,151</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23,643</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50,270</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FC651A">
              <w:rPr>
                <w:rFonts w:asciiTheme="minorHAnsi" w:eastAsia="Times New Roman" w:hAnsiTheme="minorHAnsi" w:cstheme="minorHAnsi"/>
                <w:i/>
                <w:color w:val="000000"/>
                <w:sz w:val="18"/>
                <w:szCs w:val="20"/>
              </w:rPr>
              <w:t>14</w:t>
            </w:r>
            <w:r w:rsidRPr="00B45E1C">
              <w:rPr>
                <w:rFonts w:asciiTheme="minorHAnsi" w:eastAsia="Times New Roman" w:hAnsiTheme="minorHAnsi" w:cstheme="minorHAnsi"/>
                <w:i/>
                <w:color w:val="000000"/>
                <w:sz w:val="18"/>
                <w:szCs w:val="20"/>
              </w:rPr>
              <w:t>%</w:t>
            </w:r>
          </w:p>
        </w:tc>
      </w:tr>
      <w:tr w:rsidR="00FC651A" w:rsidRPr="009710EC" w:rsidTr="000B009B">
        <w:trPr>
          <w:trHeight w:val="255"/>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Public Health</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14,151</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12,593</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698</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44,078</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72,183</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2</w:t>
            </w:r>
            <w:r w:rsidRPr="00FC651A">
              <w:rPr>
                <w:rFonts w:asciiTheme="minorHAnsi" w:eastAsia="Times New Roman" w:hAnsiTheme="minorHAnsi" w:cstheme="minorHAnsi"/>
                <w:i/>
                <w:color w:val="000000"/>
                <w:sz w:val="18"/>
                <w:szCs w:val="20"/>
              </w:rPr>
              <w:t>1</w:t>
            </w:r>
            <w:r w:rsidRPr="00B45E1C">
              <w:rPr>
                <w:rFonts w:asciiTheme="minorHAnsi" w:eastAsia="Times New Roman" w:hAnsiTheme="minorHAnsi" w:cstheme="minorHAnsi"/>
                <w:i/>
                <w:color w:val="000000"/>
                <w:sz w:val="18"/>
                <w:szCs w:val="20"/>
              </w:rPr>
              <w:t>%</w:t>
            </w:r>
          </w:p>
        </w:tc>
      </w:tr>
      <w:tr w:rsidR="00FC651A" w:rsidRPr="009710EC" w:rsidTr="000B009B">
        <w:trPr>
          <w:trHeight w:val="255"/>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Work and Social Prevention</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6,709</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16,826</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291</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37,195</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61,021</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FC651A">
              <w:rPr>
                <w:rFonts w:asciiTheme="minorHAnsi" w:eastAsia="Times New Roman" w:hAnsiTheme="minorHAnsi" w:cstheme="minorHAnsi"/>
                <w:i/>
                <w:color w:val="000000"/>
                <w:sz w:val="18"/>
                <w:szCs w:val="20"/>
              </w:rPr>
              <w:t>17</w:t>
            </w:r>
            <w:r w:rsidRPr="00B45E1C">
              <w:rPr>
                <w:rFonts w:asciiTheme="minorHAnsi" w:eastAsia="Times New Roman" w:hAnsiTheme="minorHAnsi" w:cstheme="minorHAnsi"/>
                <w:i/>
                <w:color w:val="000000"/>
                <w:sz w:val="18"/>
                <w:szCs w:val="20"/>
              </w:rPr>
              <w:t>%</w:t>
            </w:r>
          </w:p>
        </w:tc>
      </w:tr>
      <w:tr w:rsidR="00FC651A" w:rsidRPr="009710EC" w:rsidTr="000B009B">
        <w:trPr>
          <w:trHeight w:val="255"/>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Autonomous entities</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767</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151</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41,632</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42,551</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FC651A">
              <w:rPr>
                <w:rFonts w:asciiTheme="minorHAnsi" w:eastAsia="Times New Roman" w:hAnsiTheme="minorHAnsi" w:cstheme="minorHAnsi"/>
                <w:i/>
                <w:color w:val="000000"/>
                <w:sz w:val="18"/>
                <w:szCs w:val="20"/>
              </w:rPr>
              <w:t>12</w:t>
            </w:r>
            <w:r w:rsidRPr="00B45E1C">
              <w:rPr>
                <w:rFonts w:asciiTheme="minorHAnsi" w:eastAsia="Times New Roman" w:hAnsiTheme="minorHAnsi" w:cstheme="minorHAnsi"/>
                <w:i/>
                <w:color w:val="000000"/>
                <w:sz w:val="18"/>
                <w:szCs w:val="20"/>
              </w:rPr>
              <w:t>%</w:t>
            </w:r>
          </w:p>
        </w:tc>
      </w:tr>
      <w:tr w:rsidR="00FC651A" w:rsidRPr="009710EC" w:rsidTr="000B009B">
        <w:trPr>
          <w:trHeight w:val="255"/>
        </w:trPr>
        <w:tc>
          <w:tcPr>
            <w:tcW w:w="2107" w:type="dxa"/>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Others</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129</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5,221</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4,663</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59,319</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69,332</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FC651A">
              <w:rPr>
                <w:rFonts w:asciiTheme="minorHAnsi" w:eastAsia="Times New Roman" w:hAnsiTheme="minorHAnsi" w:cstheme="minorHAnsi"/>
                <w:i/>
                <w:color w:val="000000"/>
                <w:sz w:val="18"/>
                <w:szCs w:val="20"/>
              </w:rPr>
              <w:t>20</w:t>
            </w:r>
            <w:r w:rsidRPr="00B45E1C">
              <w:rPr>
                <w:rFonts w:asciiTheme="minorHAnsi" w:eastAsia="Times New Roman" w:hAnsiTheme="minorHAnsi" w:cstheme="minorHAnsi"/>
                <w:i/>
                <w:color w:val="000000"/>
                <w:sz w:val="18"/>
                <w:szCs w:val="20"/>
              </w:rPr>
              <w:t>%</w:t>
            </w:r>
          </w:p>
        </w:tc>
      </w:tr>
      <w:tr w:rsidR="00FC651A" w:rsidRPr="009710EC" w:rsidTr="000B009B">
        <w:trPr>
          <w:trHeight w:val="240"/>
        </w:trPr>
        <w:tc>
          <w:tcPr>
            <w:tcW w:w="2107" w:type="dxa"/>
            <w:vMerge w:val="restart"/>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TOTAL</w:t>
            </w: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53,490</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38,837</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7,291</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248,054</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350,826</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FC651A">
              <w:rPr>
                <w:rFonts w:asciiTheme="minorHAnsi" w:eastAsia="Times New Roman" w:hAnsiTheme="minorHAnsi" w:cstheme="minorHAnsi"/>
                <w:bCs/>
                <w:i/>
                <w:color w:val="000000"/>
                <w:sz w:val="18"/>
                <w:szCs w:val="20"/>
              </w:rPr>
              <w:t>100</w:t>
            </w:r>
            <w:r w:rsidRPr="00B45E1C">
              <w:rPr>
                <w:rFonts w:asciiTheme="minorHAnsi" w:eastAsia="Times New Roman" w:hAnsiTheme="minorHAnsi" w:cstheme="minorHAnsi"/>
                <w:bCs/>
                <w:i/>
                <w:color w:val="000000"/>
                <w:sz w:val="18"/>
                <w:szCs w:val="20"/>
              </w:rPr>
              <w:t>%</w:t>
            </w:r>
          </w:p>
        </w:tc>
      </w:tr>
      <w:tr w:rsidR="00FC651A" w:rsidRPr="009710EC" w:rsidTr="000B009B">
        <w:trPr>
          <w:trHeight w:val="240"/>
        </w:trPr>
        <w:tc>
          <w:tcPr>
            <w:tcW w:w="2107" w:type="dxa"/>
            <w:vMerge/>
            <w:vAlign w:val="center"/>
            <w:hideMark/>
          </w:tcPr>
          <w:p w:rsidR="00FC651A" w:rsidRPr="00B45E1C" w:rsidRDefault="00FC651A" w:rsidP="000B009B">
            <w:pPr>
              <w:spacing w:after="0"/>
              <w:jc w:val="left"/>
              <w:rPr>
                <w:rFonts w:asciiTheme="minorHAnsi" w:eastAsia="Times New Roman" w:hAnsiTheme="minorHAnsi" w:cstheme="minorHAnsi"/>
                <w:color w:val="000000"/>
                <w:sz w:val="18"/>
                <w:szCs w:val="20"/>
              </w:rPr>
            </w:pPr>
          </w:p>
        </w:tc>
        <w:tc>
          <w:tcPr>
            <w:tcW w:w="865"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15%</w:t>
            </w:r>
          </w:p>
        </w:tc>
        <w:tc>
          <w:tcPr>
            <w:tcW w:w="851"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11%</w:t>
            </w:r>
          </w:p>
        </w:tc>
        <w:tc>
          <w:tcPr>
            <w:tcW w:w="850"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2%</w:t>
            </w:r>
          </w:p>
        </w:tc>
        <w:tc>
          <w:tcPr>
            <w:tcW w:w="992"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71%</w:t>
            </w:r>
          </w:p>
        </w:tc>
        <w:tc>
          <w:tcPr>
            <w:tcW w:w="993" w:type="dxa"/>
            <w:vAlign w:val="center"/>
            <w:hideMark/>
          </w:tcPr>
          <w:p w:rsidR="00FC651A" w:rsidRPr="00B45E1C" w:rsidRDefault="00FC651A" w:rsidP="000B009B">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bCs/>
                <w:i/>
                <w:color w:val="000000"/>
                <w:sz w:val="18"/>
                <w:szCs w:val="20"/>
              </w:rPr>
              <w:t>100%</w:t>
            </w:r>
          </w:p>
        </w:tc>
        <w:tc>
          <w:tcPr>
            <w:tcW w:w="707" w:type="dxa"/>
            <w:vAlign w:val="center"/>
            <w:hideMark/>
          </w:tcPr>
          <w:p w:rsidR="00FC651A" w:rsidRPr="00B45E1C" w:rsidRDefault="00FC651A" w:rsidP="000B009B">
            <w:pPr>
              <w:spacing w:after="0"/>
              <w:jc w:val="center"/>
              <w:rPr>
                <w:rFonts w:asciiTheme="minorHAnsi" w:eastAsia="Times New Roman" w:hAnsiTheme="minorHAnsi" w:cstheme="minorHAnsi"/>
                <w:color w:val="000000"/>
                <w:sz w:val="18"/>
                <w:szCs w:val="20"/>
              </w:rPr>
            </w:pPr>
          </w:p>
        </w:tc>
      </w:tr>
    </w:tbl>
    <w:p w:rsidR="00FC651A" w:rsidRDefault="00FC651A">
      <w:pPr>
        <w:spacing w:after="160" w:line="259" w:lineRule="auto"/>
        <w:jc w:val="left"/>
        <w:rPr>
          <w:szCs w:val="22"/>
        </w:rPr>
      </w:pPr>
    </w:p>
    <w:p w:rsidR="00DD7E6C" w:rsidRDefault="00FC651A" w:rsidP="004D20E1">
      <w:pPr>
        <w:spacing w:after="160" w:line="259" w:lineRule="auto"/>
        <w:rPr>
          <w:szCs w:val="22"/>
        </w:rPr>
      </w:pPr>
      <w:r>
        <w:rPr>
          <w:szCs w:val="22"/>
        </w:rPr>
        <w:t>Similarly, then next table provides a breakdown of electricity and fuel consumption per final energy use.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4A0" w:firstRow="1" w:lastRow="0" w:firstColumn="1" w:lastColumn="0" w:noHBand="0" w:noVBand="1"/>
      </w:tblPr>
      <w:tblGrid>
        <w:gridCol w:w="2122"/>
        <w:gridCol w:w="850"/>
        <w:gridCol w:w="851"/>
        <w:gridCol w:w="850"/>
        <w:gridCol w:w="992"/>
        <w:gridCol w:w="993"/>
        <w:gridCol w:w="708"/>
      </w:tblGrid>
      <w:tr w:rsidR="00FC651A" w:rsidRPr="00FC651A" w:rsidTr="00FC651A">
        <w:trPr>
          <w:trHeight w:val="240"/>
        </w:trPr>
        <w:tc>
          <w:tcPr>
            <w:tcW w:w="7366" w:type="dxa"/>
            <w:gridSpan w:val="7"/>
            <w:vAlign w:val="center"/>
            <w:hideMark/>
          </w:tcPr>
          <w:p w:rsidR="00FC651A" w:rsidRPr="00B45E1C" w:rsidRDefault="00FC651A"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smallCaps/>
                <w:color w:val="000000"/>
                <w:szCs w:val="20"/>
              </w:rPr>
              <w:t>Fuel and electricity consumption per final energy use in public buildings</w:t>
            </w:r>
            <w:r w:rsidRPr="00FC651A">
              <w:rPr>
                <w:rStyle w:val="FootnoteReference"/>
                <w:rFonts w:asciiTheme="minorHAnsi" w:eastAsia="Times New Roman" w:hAnsiTheme="minorHAnsi" w:cstheme="minorHAnsi"/>
                <w:color w:val="000000"/>
                <w:szCs w:val="20"/>
              </w:rPr>
              <w:footnoteReference w:id="7"/>
            </w:r>
          </w:p>
        </w:tc>
      </w:tr>
      <w:tr w:rsidR="00FC651A" w:rsidRPr="00FC651A" w:rsidTr="00FC651A">
        <w:trPr>
          <w:trHeight w:val="255"/>
        </w:trPr>
        <w:tc>
          <w:tcPr>
            <w:tcW w:w="2122" w:type="dxa"/>
            <w:vMerge w:val="restart"/>
            <w:vAlign w:val="center"/>
          </w:tcPr>
          <w:p w:rsidR="00FC651A" w:rsidRPr="00B45E1C" w:rsidRDefault="00FC651A" w:rsidP="00B45E1C">
            <w:pPr>
              <w:spacing w:after="0"/>
              <w:jc w:val="left"/>
              <w:rPr>
                <w:rFonts w:asciiTheme="minorHAnsi" w:eastAsia="Times New Roman" w:hAnsiTheme="minorHAnsi" w:cstheme="minorHAnsi"/>
                <w:color w:val="000000"/>
                <w:sz w:val="18"/>
                <w:szCs w:val="20"/>
              </w:rPr>
            </w:pPr>
          </w:p>
        </w:tc>
        <w:tc>
          <w:tcPr>
            <w:tcW w:w="3543" w:type="dxa"/>
            <w:gridSpan w:val="4"/>
            <w:vAlign w:val="center"/>
          </w:tcPr>
          <w:p w:rsidR="00FC651A" w:rsidRPr="00FC651A" w:rsidRDefault="00FC651A" w:rsidP="00FC651A">
            <w:pPr>
              <w:spacing w:after="0"/>
              <w:jc w:val="center"/>
              <w:rPr>
                <w:rFonts w:asciiTheme="minorHAnsi" w:eastAsia="Times New Roman" w:hAnsiTheme="minorHAnsi" w:cstheme="minorHAnsi"/>
                <w:smallCaps/>
                <w:color w:val="000000"/>
                <w:sz w:val="18"/>
                <w:szCs w:val="20"/>
              </w:rPr>
            </w:pPr>
            <w:r w:rsidRPr="00FC651A">
              <w:rPr>
                <w:rFonts w:asciiTheme="minorHAnsi" w:eastAsia="Times New Roman" w:hAnsiTheme="minorHAnsi" w:cstheme="minorHAnsi"/>
                <w:smallCaps/>
                <w:color w:val="000000"/>
                <w:sz w:val="18"/>
                <w:szCs w:val="20"/>
              </w:rPr>
              <w:t>Type of Energy</w:t>
            </w:r>
          </w:p>
        </w:tc>
        <w:tc>
          <w:tcPr>
            <w:tcW w:w="1701" w:type="dxa"/>
            <w:gridSpan w:val="2"/>
            <w:vMerge w:val="restart"/>
            <w:vAlign w:val="center"/>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Total</w:t>
            </w:r>
          </w:p>
        </w:tc>
      </w:tr>
      <w:tr w:rsidR="00FC651A" w:rsidRPr="00FC651A" w:rsidTr="00FC651A">
        <w:trPr>
          <w:trHeight w:val="255"/>
        </w:trPr>
        <w:tc>
          <w:tcPr>
            <w:tcW w:w="2122" w:type="dxa"/>
            <w:vMerge/>
            <w:vAlign w:val="center"/>
            <w:hideMark/>
          </w:tcPr>
          <w:p w:rsidR="00FC651A" w:rsidRPr="00B45E1C" w:rsidRDefault="00FC651A" w:rsidP="00B45E1C">
            <w:pPr>
              <w:spacing w:after="0"/>
              <w:jc w:val="left"/>
              <w:rPr>
                <w:rFonts w:asciiTheme="minorHAnsi" w:eastAsia="Times New Roman" w:hAnsiTheme="minorHAnsi" w:cstheme="minorHAnsi"/>
                <w:color w:val="000000"/>
                <w:sz w:val="18"/>
                <w:szCs w:val="20"/>
              </w:rPr>
            </w:pPr>
          </w:p>
        </w:tc>
        <w:tc>
          <w:tcPr>
            <w:tcW w:w="850"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LPG</w:t>
            </w:r>
          </w:p>
        </w:tc>
        <w:tc>
          <w:tcPr>
            <w:tcW w:w="851"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Diesel oil</w:t>
            </w:r>
          </w:p>
        </w:tc>
        <w:tc>
          <w:tcPr>
            <w:tcW w:w="850"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Gasoline</w:t>
            </w:r>
          </w:p>
        </w:tc>
        <w:tc>
          <w:tcPr>
            <w:tcW w:w="992"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Electric energy</w:t>
            </w:r>
          </w:p>
        </w:tc>
        <w:tc>
          <w:tcPr>
            <w:tcW w:w="1701" w:type="dxa"/>
            <w:gridSpan w:val="2"/>
            <w:vMerge/>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p>
        </w:tc>
      </w:tr>
      <w:tr w:rsidR="009710EC" w:rsidRPr="00FC651A" w:rsidTr="00FC651A">
        <w:trPr>
          <w:trHeight w:val="240"/>
        </w:trPr>
        <w:tc>
          <w:tcPr>
            <w:tcW w:w="2122" w:type="dxa"/>
            <w:vAlign w:val="center"/>
            <w:hideMark/>
          </w:tcPr>
          <w:p w:rsidR="00B45E1C" w:rsidRPr="00B45E1C" w:rsidRDefault="00FC651A" w:rsidP="00B45E1C">
            <w:pPr>
              <w:spacing w:after="0"/>
              <w:jc w:val="left"/>
              <w:rPr>
                <w:rFonts w:asciiTheme="minorHAnsi" w:eastAsia="Times New Roman" w:hAnsiTheme="minorHAnsi" w:cstheme="minorHAnsi"/>
                <w:smallCaps/>
                <w:color w:val="000000"/>
                <w:sz w:val="18"/>
                <w:szCs w:val="20"/>
              </w:rPr>
            </w:pPr>
            <w:r w:rsidRPr="00FC651A">
              <w:rPr>
                <w:rFonts w:asciiTheme="minorHAnsi" w:eastAsia="Times New Roman" w:hAnsiTheme="minorHAnsi" w:cstheme="minorHAnsi"/>
                <w:smallCaps/>
                <w:color w:val="000000"/>
                <w:sz w:val="18"/>
                <w:szCs w:val="20"/>
              </w:rPr>
              <w:t>Final Energy Use</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(Mwh/yr)</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(Mwh/yr)</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(Mwh/yr)</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(Mwh/yr)</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(Mwh/yr)</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Cooking</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51,140</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53,630</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15%</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Lighting</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47,245</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47,245</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13%</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Climatization</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112,442</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112,442</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32%</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Office equipment</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31,480</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31,480</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9%</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Transport</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1,179</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13,361</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6,779</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21,319</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6%</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Other uses</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180</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547</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512</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56,887</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58,126</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17%</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Electricity generation</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570</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570</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0%</w:t>
            </w:r>
          </w:p>
        </w:tc>
      </w:tr>
      <w:tr w:rsidR="009710EC" w:rsidRPr="00FC651A" w:rsidTr="00FC651A">
        <w:trPr>
          <w:trHeight w:val="255"/>
        </w:trPr>
        <w:tc>
          <w:tcPr>
            <w:tcW w:w="2122" w:type="dxa"/>
            <w:vAlign w:val="center"/>
            <w:hideMark/>
          </w:tcPr>
          <w:p w:rsidR="00B45E1C" w:rsidRPr="00B45E1C" w:rsidRDefault="00B45E1C"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Steam production</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991</w:t>
            </w:r>
          </w:p>
        </w:tc>
        <w:tc>
          <w:tcPr>
            <w:tcW w:w="851"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24,361</w:t>
            </w:r>
          </w:p>
        </w:tc>
        <w:tc>
          <w:tcPr>
            <w:tcW w:w="850"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2"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color w:val="000000"/>
                <w:sz w:val="18"/>
                <w:szCs w:val="20"/>
              </w:rPr>
              <w:t>0</w:t>
            </w:r>
          </w:p>
        </w:tc>
        <w:tc>
          <w:tcPr>
            <w:tcW w:w="993" w:type="dxa"/>
            <w:vAlign w:val="center"/>
            <w:hideMark/>
          </w:tcPr>
          <w:p w:rsidR="00B45E1C" w:rsidRPr="00B45E1C" w:rsidRDefault="00B45E1C"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26,014</w:t>
            </w:r>
          </w:p>
        </w:tc>
        <w:tc>
          <w:tcPr>
            <w:tcW w:w="708" w:type="dxa"/>
            <w:vAlign w:val="center"/>
            <w:hideMark/>
          </w:tcPr>
          <w:p w:rsidR="00B45E1C" w:rsidRPr="00B45E1C" w:rsidRDefault="00B45E1C"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7%</w:t>
            </w:r>
          </w:p>
        </w:tc>
      </w:tr>
      <w:tr w:rsidR="00FC651A" w:rsidRPr="00FC651A" w:rsidTr="00FC651A">
        <w:trPr>
          <w:trHeight w:val="240"/>
        </w:trPr>
        <w:tc>
          <w:tcPr>
            <w:tcW w:w="2122" w:type="dxa"/>
            <w:vMerge w:val="restart"/>
            <w:vAlign w:val="center"/>
            <w:hideMark/>
          </w:tcPr>
          <w:p w:rsidR="00FC651A" w:rsidRPr="00B45E1C" w:rsidRDefault="00FC651A" w:rsidP="00B45E1C">
            <w:pPr>
              <w:spacing w:after="0"/>
              <w:jc w:val="left"/>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TOTAL</w:t>
            </w:r>
          </w:p>
        </w:tc>
        <w:tc>
          <w:tcPr>
            <w:tcW w:w="850"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53,490</w:t>
            </w:r>
          </w:p>
        </w:tc>
        <w:tc>
          <w:tcPr>
            <w:tcW w:w="851"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38,839</w:t>
            </w:r>
          </w:p>
        </w:tc>
        <w:tc>
          <w:tcPr>
            <w:tcW w:w="850"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7,291</w:t>
            </w:r>
          </w:p>
        </w:tc>
        <w:tc>
          <w:tcPr>
            <w:tcW w:w="992"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248,054</w:t>
            </w:r>
          </w:p>
        </w:tc>
        <w:tc>
          <w:tcPr>
            <w:tcW w:w="993" w:type="dxa"/>
            <w:vAlign w:val="center"/>
            <w:hideMark/>
          </w:tcPr>
          <w:p w:rsidR="00FC651A" w:rsidRPr="00B45E1C" w:rsidRDefault="00FC651A" w:rsidP="00FC651A">
            <w:pPr>
              <w:spacing w:after="0"/>
              <w:jc w:val="center"/>
              <w:rPr>
                <w:rFonts w:asciiTheme="minorHAnsi" w:eastAsia="Times New Roman" w:hAnsiTheme="minorHAnsi" w:cstheme="minorHAnsi"/>
                <w:color w:val="000000"/>
                <w:sz w:val="18"/>
                <w:szCs w:val="20"/>
              </w:rPr>
            </w:pPr>
            <w:r w:rsidRPr="00B45E1C">
              <w:rPr>
                <w:rFonts w:asciiTheme="minorHAnsi" w:eastAsia="Times New Roman" w:hAnsiTheme="minorHAnsi" w:cstheme="minorHAnsi"/>
                <w:bCs/>
                <w:color w:val="000000"/>
                <w:sz w:val="18"/>
                <w:szCs w:val="20"/>
              </w:rPr>
              <w:t>350,826</w:t>
            </w:r>
          </w:p>
        </w:tc>
        <w:tc>
          <w:tcPr>
            <w:tcW w:w="708"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100%</w:t>
            </w:r>
          </w:p>
        </w:tc>
      </w:tr>
      <w:tr w:rsidR="00FC651A" w:rsidRPr="00FC651A" w:rsidTr="00FC651A">
        <w:trPr>
          <w:trHeight w:val="240"/>
        </w:trPr>
        <w:tc>
          <w:tcPr>
            <w:tcW w:w="2122" w:type="dxa"/>
            <w:vMerge/>
            <w:vAlign w:val="center"/>
            <w:hideMark/>
          </w:tcPr>
          <w:p w:rsidR="00FC651A" w:rsidRPr="00B45E1C" w:rsidRDefault="00FC651A" w:rsidP="00B45E1C">
            <w:pPr>
              <w:spacing w:after="0"/>
              <w:jc w:val="left"/>
              <w:rPr>
                <w:rFonts w:asciiTheme="minorHAnsi" w:eastAsia="Times New Roman" w:hAnsiTheme="minorHAnsi" w:cstheme="minorHAnsi"/>
                <w:color w:val="000000"/>
                <w:sz w:val="18"/>
                <w:szCs w:val="20"/>
              </w:rPr>
            </w:pPr>
          </w:p>
        </w:tc>
        <w:tc>
          <w:tcPr>
            <w:tcW w:w="850"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15%</w:t>
            </w:r>
          </w:p>
        </w:tc>
        <w:tc>
          <w:tcPr>
            <w:tcW w:w="851"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11%</w:t>
            </w:r>
          </w:p>
        </w:tc>
        <w:tc>
          <w:tcPr>
            <w:tcW w:w="850"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2%</w:t>
            </w:r>
          </w:p>
        </w:tc>
        <w:tc>
          <w:tcPr>
            <w:tcW w:w="992"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i/>
                <w:color w:val="000000"/>
                <w:sz w:val="18"/>
                <w:szCs w:val="20"/>
              </w:rPr>
              <w:t>71%</w:t>
            </w:r>
          </w:p>
        </w:tc>
        <w:tc>
          <w:tcPr>
            <w:tcW w:w="993"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r w:rsidRPr="00B45E1C">
              <w:rPr>
                <w:rFonts w:asciiTheme="minorHAnsi" w:eastAsia="Times New Roman" w:hAnsiTheme="minorHAnsi" w:cstheme="minorHAnsi"/>
                <w:bCs/>
                <w:i/>
                <w:color w:val="000000"/>
                <w:sz w:val="18"/>
                <w:szCs w:val="20"/>
              </w:rPr>
              <w:t>100%</w:t>
            </w:r>
          </w:p>
        </w:tc>
        <w:tc>
          <w:tcPr>
            <w:tcW w:w="708" w:type="dxa"/>
            <w:vAlign w:val="center"/>
            <w:hideMark/>
          </w:tcPr>
          <w:p w:rsidR="00FC651A" w:rsidRPr="00B45E1C" w:rsidRDefault="00FC651A" w:rsidP="00FC651A">
            <w:pPr>
              <w:spacing w:after="0"/>
              <w:jc w:val="center"/>
              <w:rPr>
                <w:rFonts w:asciiTheme="minorHAnsi" w:eastAsia="Times New Roman" w:hAnsiTheme="minorHAnsi" w:cstheme="minorHAnsi"/>
                <w:i/>
                <w:color w:val="000000"/>
                <w:sz w:val="18"/>
                <w:szCs w:val="20"/>
              </w:rPr>
            </w:pPr>
          </w:p>
        </w:tc>
      </w:tr>
    </w:tbl>
    <w:p w:rsidR="00B45E1C" w:rsidRDefault="00B45E1C" w:rsidP="00184C5F">
      <w:pPr>
        <w:spacing w:after="160" w:line="259" w:lineRule="auto"/>
        <w:jc w:val="left"/>
        <w:rPr>
          <w:szCs w:val="22"/>
        </w:rPr>
      </w:pPr>
    </w:p>
    <w:p w:rsidR="004D20E1" w:rsidRDefault="004D20E1" w:rsidP="004D20E1">
      <w:pPr>
        <w:spacing w:after="160" w:line="259" w:lineRule="auto"/>
        <w:rPr>
          <w:szCs w:val="22"/>
        </w:rPr>
      </w:pPr>
      <w:r>
        <w:rPr>
          <w:szCs w:val="22"/>
        </w:rPr>
        <w:t xml:space="preserve">The NAMA study proposes a number of interventions and provides a cost estimate. For the purpose of the present GHG estimate, it is assumed that the same “mix” is applied in the first batch of EE projects to be implemented under the GEF project (using </w:t>
      </w:r>
      <w:r w:rsidR="00E55B99">
        <w:rPr>
          <w:szCs w:val="22"/>
        </w:rPr>
        <w:t xml:space="preserve">US$ </w:t>
      </w:r>
      <w:r w:rsidR="00937D37">
        <w:rPr>
          <w:szCs w:val="22"/>
        </w:rPr>
        <w:t>3</w:t>
      </w:r>
      <w:r w:rsidR="00E55B99">
        <w:rPr>
          <w:szCs w:val="22"/>
        </w:rPr>
        <w:t xml:space="preserve"> mln </w:t>
      </w:r>
      <w:r>
        <w:rPr>
          <w:szCs w:val="22"/>
        </w:rPr>
        <w:t>cofinancing resources</w:t>
      </w:r>
      <w:r w:rsidR="00E55B99">
        <w:rPr>
          <w:szCs w:val="22"/>
        </w:rPr>
        <w:t xml:space="preserve"> for investment</w:t>
      </w:r>
      <w:r w:rsidR="00591CEC">
        <w:rPr>
          <w:szCs w:val="22"/>
        </w:rPr>
        <w:t xml:space="preserve"> in public buildings</w:t>
      </w:r>
      <w:r>
        <w:rPr>
          <w:szCs w:val="22"/>
        </w:rPr>
        <w:t xml:space="preserve">). </w:t>
      </w:r>
      <w:r w:rsidR="00E55B99">
        <w:rPr>
          <w:szCs w:val="22"/>
        </w:rPr>
        <w:t xml:space="preserve"> </w:t>
      </w:r>
    </w:p>
    <w:p w:rsidR="00B45E1C" w:rsidRDefault="00B45E1C" w:rsidP="00184C5F">
      <w:pPr>
        <w:spacing w:after="160" w:line="259" w:lineRule="auto"/>
        <w:jc w:val="left"/>
        <w:rPr>
          <w:szCs w:val="22"/>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3823"/>
        <w:gridCol w:w="992"/>
        <w:gridCol w:w="992"/>
        <w:gridCol w:w="1418"/>
        <w:gridCol w:w="1275"/>
      </w:tblGrid>
      <w:tr w:rsidR="000C73FC" w:rsidRPr="004D20E1" w:rsidTr="00591CEC">
        <w:trPr>
          <w:trHeight w:val="255"/>
        </w:trPr>
        <w:tc>
          <w:tcPr>
            <w:tcW w:w="8500" w:type="dxa"/>
            <w:gridSpan w:val="5"/>
            <w:vAlign w:val="center"/>
            <w:hideMark/>
          </w:tcPr>
          <w:p w:rsidR="000C73FC" w:rsidRPr="004D20E1" w:rsidRDefault="000C73FC" w:rsidP="000C73FC">
            <w:pPr>
              <w:spacing w:after="0"/>
              <w:jc w:val="left"/>
              <w:rPr>
                <w:rFonts w:asciiTheme="minorHAnsi" w:eastAsia="Times New Roman" w:hAnsiTheme="minorHAnsi" w:cstheme="minorHAnsi"/>
                <w:color w:val="000000"/>
                <w:sz w:val="18"/>
                <w:szCs w:val="20"/>
              </w:rPr>
            </w:pPr>
            <w:r w:rsidRPr="004D20E1">
              <w:rPr>
                <w:rFonts w:asciiTheme="minorHAnsi" w:eastAsia="Times New Roman" w:hAnsiTheme="minorHAnsi" w:cstheme="minorHAnsi"/>
                <w:smallCaps/>
                <w:color w:val="000000"/>
                <w:szCs w:val="20"/>
              </w:rPr>
              <w:t xml:space="preserve">NAMA Public </w:t>
            </w:r>
            <w:r w:rsidRPr="00591CEC">
              <w:rPr>
                <w:rFonts w:asciiTheme="minorHAnsi" w:eastAsia="Times New Roman" w:hAnsiTheme="minorHAnsi" w:cstheme="minorHAnsi"/>
                <w:smallCaps/>
                <w:color w:val="000000"/>
                <w:szCs w:val="20"/>
              </w:rPr>
              <w:t>Buildings</w:t>
            </w:r>
            <w:r w:rsidRPr="00591CEC">
              <w:rPr>
                <w:rStyle w:val="FootnoteReference"/>
                <w:rFonts w:asciiTheme="minorHAnsi" w:eastAsia="Times New Roman" w:hAnsiTheme="minorHAnsi" w:cstheme="minorHAnsi"/>
                <w:bCs/>
                <w:color w:val="000000"/>
                <w:szCs w:val="20"/>
              </w:rPr>
              <w:footnoteReference w:id="8"/>
            </w:r>
          </w:p>
        </w:tc>
      </w:tr>
      <w:tr w:rsidR="000C73FC" w:rsidRPr="004D20E1" w:rsidTr="00591CEC">
        <w:trPr>
          <w:trHeight w:val="240"/>
        </w:trPr>
        <w:tc>
          <w:tcPr>
            <w:tcW w:w="3823" w:type="dxa"/>
            <w:vMerge w:val="restart"/>
            <w:vAlign w:val="center"/>
          </w:tcPr>
          <w:p w:rsidR="000C73FC" w:rsidRPr="004D20E1" w:rsidRDefault="000C73FC" w:rsidP="000B009B">
            <w:pPr>
              <w:spacing w:after="0"/>
              <w:jc w:val="left"/>
              <w:rPr>
                <w:rFonts w:asciiTheme="minorHAnsi" w:eastAsia="Times New Roman" w:hAnsiTheme="minorHAnsi" w:cstheme="minorHAnsi"/>
                <w:color w:val="000000"/>
                <w:sz w:val="18"/>
                <w:szCs w:val="20"/>
              </w:rPr>
            </w:pPr>
          </w:p>
        </w:tc>
        <w:tc>
          <w:tcPr>
            <w:tcW w:w="4677" w:type="dxa"/>
            <w:gridSpan w:val="4"/>
            <w:vAlign w:val="center"/>
          </w:tcPr>
          <w:p w:rsidR="000C73FC" w:rsidRPr="00E55B99" w:rsidRDefault="000C73FC" w:rsidP="000B009B">
            <w:pPr>
              <w:spacing w:after="0"/>
              <w:jc w:val="center"/>
              <w:rPr>
                <w:rFonts w:asciiTheme="minorHAnsi" w:eastAsia="Times New Roman" w:hAnsiTheme="minorHAnsi" w:cstheme="minorHAnsi"/>
                <w:smallCaps/>
                <w:color w:val="000000"/>
                <w:sz w:val="18"/>
                <w:szCs w:val="20"/>
              </w:rPr>
            </w:pPr>
            <w:r w:rsidRPr="00E55B99">
              <w:rPr>
                <w:rFonts w:asciiTheme="minorHAnsi" w:eastAsia="Times New Roman" w:hAnsiTheme="minorHAnsi" w:cstheme="minorHAnsi"/>
                <w:smallCaps/>
                <w:color w:val="000000"/>
                <w:sz w:val="18"/>
                <w:szCs w:val="20"/>
              </w:rPr>
              <w:t>Intervention Key Data</w:t>
            </w:r>
          </w:p>
        </w:tc>
      </w:tr>
      <w:tr w:rsidR="000C73FC" w:rsidRPr="004D20E1" w:rsidTr="00591CEC">
        <w:trPr>
          <w:trHeight w:val="240"/>
        </w:trPr>
        <w:tc>
          <w:tcPr>
            <w:tcW w:w="3823" w:type="dxa"/>
            <w:vMerge/>
            <w:vAlign w:val="center"/>
            <w:hideMark/>
          </w:tcPr>
          <w:p w:rsidR="000C73FC" w:rsidRPr="004D20E1" w:rsidRDefault="000C73FC" w:rsidP="000B009B">
            <w:pPr>
              <w:spacing w:after="0"/>
              <w:jc w:val="left"/>
              <w:rPr>
                <w:rFonts w:asciiTheme="minorHAnsi" w:eastAsia="Times New Roman" w:hAnsiTheme="minorHAnsi" w:cstheme="minorHAnsi"/>
                <w:color w:val="000000"/>
                <w:sz w:val="18"/>
                <w:szCs w:val="20"/>
              </w:rPr>
            </w:pPr>
          </w:p>
        </w:tc>
        <w:tc>
          <w:tcPr>
            <w:tcW w:w="1984" w:type="dxa"/>
            <w:gridSpan w:val="2"/>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Investment</w:t>
            </w:r>
          </w:p>
        </w:tc>
        <w:tc>
          <w:tcPr>
            <w:tcW w:w="1418" w:type="dxa"/>
            <w:vAlign w:val="center"/>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Electric energy savings</w:t>
            </w:r>
          </w:p>
        </w:tc>
        <w:tc>
          <w:tcPr>
            <w:tcW w:w="1275" w:type="dxa"/>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GHG emission reductions</w:t>
            </w:r>
          </w:p>
        </w:tc>
      </w:tr>
      <w:tr w:rsidR="000C73FC" w:rsidRPr="004D20E1" w:rsidTr="00591CEC">
        <w:trPr>
          <w:trHeight w:val="240"/>
        </w:trPr>
        <w:tc>
          <w:tcPr>
            <w:tcW w:w="3823" w:type="dxa"/>
            <w:vAlign w:val="center"/>
            <w:hideMark/>
          </w:tcPr>
          <w:p w:rsidR="000C73FC" w:rsidRPr="004D20E1" w:rsidRDefault="000C73FC" w:rsidP="000B009B">
            <w:pPr>
              <w:spacing w:after="0"/>
              <w:jc w:val="left"/>
              <w:rPr>
                <w:rFonts w:asciiTheme="minorHAnsi" w:eastAsia="Times New Roman" w:hAnsiTheme="minorHAnsi" w:cstheme="minorHAnsi"/>
                <w:smallCaps/>
                <w:color w:val="000000"/>
                <w:sz w:val="18"/>
                <w:szCs w:val="20"/>
              </w:rPr>
            </w:pPr>
            <w:r w:rsidRPr="00E55B99">
              <w:rPr>
                <w:rFonts w:asciiTheme="minorHAnsi" w:eastAsia="Times New Roman" w:hAnsiTheme="minorHAnsi" w:cstheme="minorHAnsi"/>
                <w:smallCaps/>
                <w:color w:val="000000"/>
                <w:sz w:val="18"/>
                <w:szCs w:val="20"/>
              </w:rPr>
              <w:t xml:space="preserve">Proposed </w:t>
            </w:r>
            <w:r w:rsidRPr="004D20E1">
              <w:rPr>
                <w:rFonts w:asciiTheme="minorHAnsi" w:eastAsia="Times New Roman" w:hAnsiTheme="minorHAnsi" w:cstheme="minorHAnsi"/>
                <w:smallCaps/>
                <w:color w:val="000000"/>
                <w:sz w:val="18"/>
                <w:szCs w:val="20"/>
              </w:rPr>
              <w:t>Measure</w:t>
            </w:r>
            <w:r>
              <w:rPr>
                <w:rFonts w:asciiTheme="minorHAnsi" w:eastAsia="Times New Roman" w:hAnsiTheme="minorHAnsi" w:cstheme="minorHAnsi"/>
                <w:smallCaps/>
                <w:color w:val="000000"/>
                <w:sz w:val="18"/>
                <w:szCs w:val="20"/>
              </w:rPr>
              <w:t>s</w:t>
            </w:r>
          </w:p>
        </w:tc>
        <w:tc>
          <w:tcPr>
            <w:tcW w:w="992" w:type="dxa"/>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project</w:t>
            </w:r>
          </w:p>
        </w:tc>
        <w:tc>
          <w:tcPr>
            <w:tcW w:w="992" w:type="dxa"/>
            <w:vAlign w:val="center"/>
          </w:tcPr>
          <w:p w:rsidR="000C73FC" w:rsidRPr="004D20E1" w:rsidRDefault="000C73F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US$ (mln)</w:t>
            </w:r>
          </w:p>
        </w:tc>
        <w:tc>
          <w:tcPr>
            <w:tcW w:w="1418" w:type="dxa"/>
            <w:vAlign w:val="center"/>
          </w:tcPr>
          <w:p w:rsidR="000C73FC" w:rsidRPr="004D20E1" w:rsidRDefault="000C73F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Mwh/yr</w:t>
            </w:r>
          </w:p>
        </w:tc>
        <w:tc>
          <w:tcPr>
            <w:tcW w:w="1275" w:type="dxa"/>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tCO2eq/yr</w:t>
            </w:r>
          </w:p>
        </w:tc>
      </w:tr>
      <w:tr w:rsidR="000C73FC" w:rsidRPr="004D20E1" w:rsidTr="00591CEC">
        <w:trPr>
          <w:trHeight w:val="1054"/>
        </w:trPr>
        <w:tc>
          <w:tcPr>
            <w:tcW w:w="3823" w:type="dxa"/>
            <w:vMerge w:val="restart"/>
            <w:vAlign w:val="center"/>
            <w:hideMark/>
          </w:tcPr>
          <w:p w:rsidR="000C73FC" w:rsidRPr="000C73FC" w:rsidRDefault="000C73FC" w:rsidP="000C73FC">
            <w:pPr>
              <w:pStyle w:val="ListParagraph"/>
              <w:numPr>
                <w:ilvl w:val="0"/>
                <w:numId w:val="8"/>
              </w:numPr>
              <w:spacing w:after="0"/>
              <w:jc w:val="left"/>
              <w:rPr>
                <w:rFonts w:asciiTheme="minorHAnsi" w:eastAsia="Times New Roman" w:hAnsiTheme="minorHAnsi" w:cstheme="minorHAnsi"/>
                <w:color w:val="000000"/>
                <w:sz w:val="18"/>
                <w:szCs w:val="20"/>
              </w:rPr>
            </w:pPr>
            <w:r w:rsidRPr="000C73FC">
              <w:rPr>
                <w:rFonts w:asciiTheme="minorHAnsi" w:eastAsia="Times New Roman" w:hAnsiTheme="minorHAnsi" w:cstheme="minorHAnsi"/>
                <w:color w:val="000000"/>
                <w:sz w:val="18"/>
                <w:szCs w:val="20"/>
              </w:rPr>
              <w:t>Replacement of 20% of interior and exterior lighting and retrofitting of 50%</w:t>
            </w:r>
            <w:r>
              <w:rPr>
                <w:rFonts w:asciiTheme="minorHAnsi" w:eastAsia="Times New Roman" w:hAnsiTheme="minorHAnsi" w:cstheme="minorHAnsi"/>
                <w:color w:val="000000"/>
                <w:sz w:val="18"/>
                <w:szCs w:val="20"/>
              </w:rPr>
              <w:t>;</w:t>
            </w:r>
          </w:p>
          <w:p w:rsidR="000C73FC" w:rsidRPr="000C73FC" w:rsidRDefault="000C73FC" w:rsidP="000C73FC">
            <w:pPr>
              <w:pStyle w:val="ListParagraph"/>
              <w:numPr>
                <w:ilvl w:val="0"/>
                <w:numId w:val="8"/>
              </w:numPr>
              <w:spacing w:after="0"/>
              <w:jc w:val="left"/>
              <w:rPr>
                <w:rFonts w:asciiTheme="minorHAnsi" w:eastAsia="Times New Roman" w:hAnsiTheme="minorHAnsi" w:cstheme="minorHAnsi"/>
                <w:color w:val="000000"/>
                <w:sz w:val="18"/>
                <w:szCs w:val="20"/>
              </w:rPr>
            </w:pPr>
            <w:r w:rsidRPr="000C73FC">
              <w:rPr>
                <w:rFonts w:asciiTheme="minorHAnsi" w:eastAsia="Times New Roman" w:hAnsiTheme="minorHAnsi" w:cstheme="minorHAnsi"/>
                <w:color w:val="000000"/>
                <w:sz w:val="18"/>
                <w:szCs w:val="20"/>
              </w:rPr>
              <w:t>Change of refrigerants in 30% of climatization equipment</w:t>
            </w:r>
            <w:r>
              <w:rPr>
                <w:rFonts w:asciiTheme="minorHAnsi" w:eastAsia="Times New Roman" w:hAnsiTheme="minorHAnsi" w:cstheme="minorHAnsi"/>
                <w:color w:val="000000"/>
                <w:sz w:val="18"/>
                <w:szCs w:val="20"/>
              </w:rPr>
              <w:t>;</w:t>
            </w:r>
          </w:p>
          <w:p w:rsidR="000C73FC" w:rsidRPr="000C73FC" w:rsidRDefault="000C73FC" w:rsidP="000C73FC">
            <w:pPr>
              <w:pStyle w:val="ListParagraph"/>
              <w:numPr>
                <w:ilvl w:val="0"/>
                <w:numId w:val="8"/>
              </w:numPr>
              <w:spacing w:after="0"/>
              <w:jc w:val="left"/>
              <w:rPr>
                <w:rFonts w:asciiTheme="minorHAnsi" w:eastAsia="Times New Roman" w:hAnsiTheme="minorHAnsi" w:cstheme="minorHAnsi"/>
                <w:color w:val="000000"/>
                <w:sz w:val="18"/>
                <w:szCs w:val="20"/>
              </w:rPr>
            </w:pPr>
            <w:r w:rsidRPr="000C73FC">
              <w:rPr>
                <w:rFonts w:asciiTheme="minorHAnsi" w:eastAsia="Times New Roman" w:hAnsiTheme="minorHAnsi" w:cstheme="minorHAnsi"/>
                <w:color w:val="000000"/>
                <w:sz w:val="18"/>
                <w:szCs w:val="20"/>
              </w:rPr>
              <w:t>Substitution of 30% of standard electric motors by EE ones</w:t>
            </w:r>
            <w:r>
              <w:rPr>
                <w:rFonts w:asciiTheme="minorHAnsi" w:eastAsia="Times New Roman" w:hAnsiTheme="minorHAnsi" w:cstheme="minorHAnsi"/>
                <w:color w:val="000000"/>
                <w:sz w:val="18"/>
                <w:szCs w:val="20"/>
              </w:rPr>
              <w:t>;</w:t>
            </w:r>
          </w:p>
          <w:p w:rsidR="000C73FC" w:rsidRPr="000C73FC" w:rsidRDefault="000C73FC" w:rsidP="000C73FC">
            <w:pPr>
              <w:pStyle w:val="ListParagraph"/>
              <w:numPr>
                <w:ilvl w:val="0"/>
                <w:numId w:val="8"/>
              </w:numPr>
              <w:spacing w:after="0"/>
              <w:jc w:val="left"/>
              <w:rPr>
                <w:rFonts w:asciiTheme="minorHAnsi" w:eastAsia="Times New Roman" w:hAnsiTheme="minorHAnsi" w:cstheme="minorHAnsi"/>
                <w:color w:val="000000"/>
                <w:sz w:val="18"/>
                <w:szCs w:val="20"/>
              </w:rPr>
            </w:pPr>
            <w:r w:rsidRPr="000C73FC">
              <w:rPr>
                <w:rFonts w:asciiTheme="minorHAnsi" w:eastAsia="Times New Roman" w:hAnsiTheme="minorHAnsi" w:cstheme="minorHAnsi"/>
                <w:color w:val="000000"/>
                <w:sz w:val="18"/>
                <w:szCs w:val="20"/>
              </w:rPr>
              <w:t>Installation of thermal insulation of windows in 33% of buildings</w:t>
            </w:r>
            <w:r>
              <w:rPr>
                <w:rFonts w:asciiTheme="minorHAnsi" w:eastAsia="Times New Roman" w:hAnsiTheme="minorHAnsi" w:cstheme="minorHAnsi"/>
                <w:color w:val="000000"/>
                <w:sz w:val="18"/>
                <w:szCs w:val="20"/>
              </w:rPr>
              <w:t>; and</w:t>
            </w:r>
          </w:p>
          <w:p w:rsidR="000C73FC" w:rsidRPr="000C73FC" w:rsidRDefault="000C73FC" w:rsidP="000C73FC">
            <w:pPr>
              <w:pStyle w:val="ListParagraph"/>
              <w:numPr>
                <w:ilvl w:val="0"/>
                <w:numId w:val="8"/>
              </w:numPr>
              <w:spacing w:after="0"/>
              <w:jc w:val="left"/>
              <w:rPr>
                <w:rFonts w:asciiTheme="minorHAnsi" w:eastAsia="Times New Roman" w:hAnsiTheme="minorHAnsi" w:cstheme="minorHAnsi"/>
                <w:color w:val="000000"/>
                <w:sz w:val="18"/>
                <w:szCs w:val="20"/>
              </w:rPr>
            </w:pPr>
            <w:r w:rsidRPr="000C73FC">
              <w:rPr>
                <w:rFonts w:asciiTheme="minorHAnsi" w:eastAsia="Times New Roman" w:hAnsiTheme="minorHAnsi" w:cstheme="minorHAnsi"/>
                <w:color w:val="000000"/>
                <w:sz w:val="18"/>
                <w:szCs w:val="20"/>
              </w:rPr>
              <w:t>Installation of PV panels (1kWp) in 20% of buildings</w:t>
            </w:r>
            <w:r>
              <w:rPr>
                <w:rFonts w:asciiTheme="minorHAnsi" w:eastAsia="Times New Roman" w:hAnsiTheme="minorHAnsi" w:cstheme="minorHAnsi"/>
                <w:color w:val="000000"/>
                <w:sz w:val="18"/>
                <w:szCs w:val="20"/>
              </w:rPr>
              <w:t>.</w:t>
            </w:r>
          </w:p>
        </w:tc>
        <w:tc>
          <w:tcPr>
            <w:tcW w:w="992" w:type="dxa"/>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NAMA</w:t>
            </w:r>
          </w:p>
        </w:tc>
        <w:tc>
          <w:tcPr>
            <w:tcW w:w="992" w:type="dxa"/>
            <w:vAlign w:val="center"/>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US$ 31.1</w:t>
            </w:r>
          </w:p>
        </w:tc>
        <w:tc>
          <w:tcPr>
            <w:tcW w:w="1418" w:type="dxa"/>
            <w:vAlign w:val="center"/>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18,247</w:t>
            </w:r>
          </w:p>
        </w:tc>
        <w:tc>
          <w:tcPr>
            <w:tcW w:w="1275" w:type="dxa"/>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15,129</w:t>
            </w:r>
          </w:p>
        </w:tc>
      </w:tr>
      <w:tr w:rsidR="000C73FC" w:rsidRPr="004D20E1" w:rsidTr="00591CEC">
        <w:trPr>
          <w:trHeight w:val="255"/>
        </w:trPr>
        <w:tc>
          <w:tcPr>
            <w:tcW w:w="3823" w:type="dxa"/>
            <w:vMerge/>
            <w:vAlign w:val="center"/>
            <w:hideMark/>
          </w:tcPr>
          <w:p w:rsidR="000C73FC" w:rsidRPr="004D20E1" w:rsidRDefault="000C73FC" w:rsidP="000B009B">
            <w:pPr>
              <w:spacing w:after="0"/>
              <w:jc w:val="left"/>
              <w:rPr>
                <w:rFonts w:asciiTheme="minorHAnsi" w:eastAsia="Times New Roman" w:hAnsiTheme="minorHAnsi" w:cstheme="minorHAnsi"/>
                <w:color w:val="000000"/>
                <w:sz w:val="18"/>
                <w:szCs w:val="20"/>
              </w:rPr>
            </w:pPr>
          </w:p>
        </w:tc>
        <w:tc>
          <w:tcPr>
            <w:tcW w:w="992" w:type="dxa"/>
            <w:vAlign w:val="center"/>
            <w:hideMark/>
          </w:tcPr>
          <w:p w:rsidR="000C73FC" w:rsidRPr="004D20E1" w:rsidRDefault="000C73F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GEF</w:t>
            </w:r>
          </w:p>
        </w:tc>
        <w:tc>
          <w:tcPr>
            <w:tcW w:w="992" w:type="dxa"/>
            <w:vAlign w:val="center"/>
          </w:tcPr>
          <w:p w:rsidR="000C73FC" w:rsidRPr="004D20E1" w:rsidRDefault="000C73FC" w:rsidP="00937D37">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 xml:space="preserve">US$ </w:t>
            </w:r>
            <w:r w:rsidR="00937D37">
              <w:rPr>
                <w:rFonts w:asciiTheme="minorHAnsi" w:eastAsia="Times New Roman" w:hAnsiTheme="minorHAnsi" w:cstheme="minorHAnsi"/>
                <w:color w:val="000000"/>
                <w:sz w:val="18"/>
                <w:szCs w:val="20"/>
              </w:rPr>
              <w:t>3</w:t>
            </w:r>
            <w:r>
              <w:rPr>
                <w:rFonts w:asciiTheme="minorHAnsi" w:eastAsia="Times New Roman" w:hAnsiTheme="minorHAnsi" w:cstheme="minorHAnsi"/>
                <w:color w:val="000000"/>
                <w:sz w:val="18"/>
                <w:szCs w:val="20"/>
              </w:rPr>
              <w:t>.0</w:t>
            </w:r>
          </w:p>
        </w:tc>
        <w:tc>
          <w:tcPr>
            <w:tcW w:w="1418" w:type="dxa"/>
            <w:vAlign w:val="center"/>
          </w:tcPr>
          <w:p w:rsidR="00937D37" w:rsidRPr="004D20E1" w:rsidRDefault="00937D37" w:rsidP="00591CEC">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1,760</w:t>
            </w:r>
          </w:p>
        </w:tc>
        <w:tc>
          <w:tcPr>
            <w:tcW w:w="1275" w:type="dxa"/>
            <w:vAlign w:val="center"/>
            <w:hideMark/>
          </w:tcPr>
          <w:p w:rsidR="00937D37" w:rsidRPr="004D20E1" w:rsidRDefault="00937D37"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1,459</w:t>
            </w:r>
          </w:p>
        </w:tc>
      </w:tr>
    </w:tbl>
    <w:p w:rsidR="000C73FC" w:rsidRDefault="000C73FC" w:rsidP="00184C5F">
      <w:pPr>
        <w:spacing w:after="160" w:line="259" w:lineRule="auto"/>
        <w:jc w:val="left"/>
        <w:rPr>
          <w:szCs w:val="22"/>
        </w:rPr>
      </w:pPr>
    </w:p>
    <w:p w:rsidR="000B009B" w:rsidRDefault="000B009B" w:rsidP="00291524">
      <w:pPr>
        <w:spacing w:after="160" w:line="259" w:lineRule="auto"/>
        <w:rPr>
          <w:szCs w:val="22"/>
        </w:rPr>
      </w:pPr>
      <w:r>
        <w:rPr>
          <w:szCs w:val="22"/>
        </w:rPr>
        <w:t>It is envisaged to implement the measures under an energy management plan. Experience woldwide shows that the existence of such plan and the adoption of improved user habits, rationalization of building use and occupance, and preventive maintenance, delivers tangible energy savings. Here a guiding figure of 15% is used.</w:t>
      </w:r>
    </w:p>
    <w:p w:rsidR="00433C1D" w:rsidRDefault="00433C1D" w:rsidP="00BB5402">
      <w:pPr>
        <w:spacing w:after="160" w:line="259" w:lineRule="auto"/>
        <w:jc w:val="left"/>
        <w:rPr>
          <w:szCs w:val="22"/>
        </w:rPr>
      </w:pPr>
    </w:p>
    <w:tbl>
      <w:tblPr>
        <w:tblStyle w:val="TableGrid"/>
        <w:tblW w:w="0" w:type="auto"/>
        <w:tblLook w:val="04A0" w:firstRow="1" w:lastRow="0" w:firstColumn="1" w:lastColumn="0" w:noHBand="0" w:noVBand="1"/>
      </w:tblPr>
      <w:tblGrid>
        <w:gridCol w:w="1555"/>
        <w:gridCol w:w="1090"/>
        <w:gridCol w:w="1701"/>
        <w:gridCol w:w="1701"/>
        <w:gridCol w:w="1843"/>
      </w:tblGrid>
      <w:tr w:rsidR="00433C1D" w:rsidRPr="000B009B" w:rsidTr="00433C1D">
        <w:tc>
          <w:tcPr>
            <w:tcW w:w="7792" w:type="dxa"/>
            <w:gridSpan w:val="5"/>
          </w:tcPr>
          <w:p w:rsidR="00433C1D" w:rsidRPr="00433C1D" w:rsidRDefault="00433C1D" w:rsidP="00433C1D">
            <w:pPr>
              <w:spacing w:after="0"/>
              <w:jc w:val="left"/>
              <w:rPr>
                <w:smallCaps/>
                <w:szCs w:val="22"/>
              </w:rPr>
            </w:pPr>
            <w:r w:rsidRPr="00433C1D">
              <w:rPr>
                <w:smallCaps/>
                <w:szCs w:val="22"/>
              </w:rPr>
              <w:t>GEF Project - Electricity savings and GHG reductions from investments and energy management</w:t>
            </w:r>
          </w:p>
        </w:tc>
      </w:tr>
      <w:tr w:rsidR="00433C1D" w:rsidRPr="000B009B" w:rsidTr="00433C1D">
        <w:tc>
          <w:tcPr>
            <w:tcW w:w="2547" w:type="dxa"/>
            <w:gridSpan w:val="2"/>
          </w:tcPr>
          <w:p w:rsidR="00433C1D" w:rsidRDefault="00433C1D" w:rsidP="000B009B">
            <w:pPr>
              <w:spacing w:after="0"/>
              <w:jc w:val="left"/>
              <w:rPr>
                <w:sz w:val="18"/>
                <w:szCs w:val="22"/>
              </w:rPr>
            </w:pPr>
          </w:p>
        </w:tc>
        <w:tc>
          <w:tcPr>
            <w:tcW w:w="1701" w:type="dxa"/>
            <w:vAlign w:val="center"/>
          </w:tcPr>
          <w:p w:rsidR="00433C1D" w:rsidRPr="000B009B" w:rsidRDefault="00433C1D" w:rsidP="00433C1D">
            <w:pPr>
              <w:spacing w:after="0"/>
              <w:jc w:val="center"/>
              <w:rPr>
                <w:sz w:val="18"/>
                <w:szCs w:val="22"/>
              </w:rPr>
            </w:pPr>
            <w:r>
              <w:rPr>
                <w:sz w:val="18"/>
                <w:szCs w:val="22"/>
              </w:rPr>
              <w:t>Investment GEF project</w:t>
            </w:r>
          </w:p>
        </w:tc>
        <w:tc>
          <w:tcPr>
            <w:tcW w:w="1701" w:type="dxa"/>
            <w:vAlign w:val="center"/>
          </w:tcPr>
          <w:p w:rsidR="00433C1D" w:rsidRPr="000B009B" w:rsidRDefault="00433C1D" w:rsidP="00433C1D">
            <w:pPr>
              <w:spacing w:after="0"/>
              <w:jc w:val="center"/>
              <w:rPr>
                <w:sz w:val="18"/>
                <w:szCs w:val="22"/>
              </w:rPr>
            </w:pPr>
            <w:r>
              <w:rPr>
                <w:sz w:val="18"/>
                <w:szCs w:val="22"/>
              </w:rPr>
              <w:t>Energy management</w:t>
            </w:r>
          </w:p>
        </w:tc>
        <w:tc>
          <w:tcPr>
            <w:tcW w:w="1843" w:type="dxa"/>
            <w:vAlign w:val="center"/>
          </w:tcPr>
          <w:p w:rsidR="00433C1D" w:rsidRDefault="00433C1D" w:rsidP="00433C1D">
            <w:pPr>
              <w:spacing w:after="0"/>
              <w:jc w:val="center"/>
              <w:rPr>
                <w:sz w:val="18"/>
                <w:szCs w:val="22"/>
              </w:rPr>
            </w:pPr>
            <w:r>
              <w:rPr>
                <w:sz w:val="18"/>
                <w:szCs w:val="22"/>
              </w:rPr>
              <w:t>Total</w:t>
            </w:r>
          </w:p>
        </w:tc>
      </w:tr>
      <w:tr w:rsidR="00433C1D" w:rsidRPr="000B009B" w:rsidTr="00433C1D">
        <w:tc>
          <w:tcPr>
            <w:tcW w:w="1555" w:type="dxa"/>
          </w:tcPr>
          <w:p w:rsidR="00433C1D" w:rsidRPr="000B009B" w:rsidRDefault="00433C1D" w:rsidP="00433C1D">
            <w:pPr>
              <w:spacing w:after="0"/>
              <w:jc w:val="left"/>
              <w:rPr>
                <w:sz w:val="18"/>
                <w:szCs w:val="22"/>
              </w:rPr>
            </w:pPr>
            <w:r>
              <w:rPr>
                <w:sz w:val="18"/>
                <w:szCs w:val="22"/>
              </w:rPr>
              <w:t>Electric energy savings</w:t>
            </w:r>
          </w:p>
        </w:tc>
        <w:tc>
          <w:tcPr>
            <w:tcW w:w="992" w:type="dxa"/>
            <w:vAlign w:val="center"/>
          </w:tcPr>
          <w:p w:rsidR="00433C1D" w:rsidRPr="000B009B" w:rsidRDefault="00B617B6" w:rsidP="00433C1D">
            <w:pPr>
              <w:spacing w:after="0"/>
              <w:jc w:val="center"/>
              <w:rPr>
                <w:sz w:val="18"/>
                <w:szCs w:val="22"/>
              </w:rPr>
            </w:pPr>
            <w:r>
              <w:rPr>
                <w:rFonts w:asciiTheme="minorHAnsi" w:eastAsia="Times New Roman" w:hAnsiTheme="minorHAnsi" w:cstheme="minorHAnsi"/>
                <w:color w:val="000000"/>
                <w:sz w:val="18"/>
                <w:szCs w:val="20"/>
              </w:rPr>
              <w:t>(</w:t>
            </w:r>
            <w:r w:rsidR="00433C1D" w:rsidRPr="004D20E1">
              <w:rPr>
                <w:rFonts w:asciiTheme="minorHAnsi" w:eastAsia="Times New Roman" w:hAnsiTheme="minorHAnsi" w:cstheme="minorHAnsi"/>
                <w:color w:val="000000"/>
                <w:sz w:val="18"/>
                <w:szCs w:val="20"/>
              </w:rPr>
              <w:t>Mwh/yr</w:t>
            </w:r>
            <w:r>
              <w:rPr>
                <w:rFonts w:asciiTheme="minorHAnsi" w:eastAsia="Times New Roman" w:hAnsiTheme="minorHAnsi" w:cstheme="minorHAnsi"/>
                <w:color w:val="000000"/>
                <w:sz w:val="18"/>
                <w:szCs w:val="20"/>
              </w:rPr>
              <w:t>)</w:t>
            </w:r>
          </w:p>
        </w:tc>
        <w:tc>
          <w:tcPr>
            <w:tcW w:w="1701" w:type="dxa"/>
            <w:vAlign w:val="center"/>
          </w:tcPr>
          <w:p w:rsidR="00433C1D" w:rsidRPr="000B009B" w:rsidRDefault="00937D37" w:rsidP="00433C1D">
            <w:pPr>
              <w:spacing w:after="0"/>
              <w:jc w:val="center"/>
              <w:rPr>
                <w:sz w:val="18"/>
                <w:szCs w:val="22"/>
              </w:rPr>
            </w:pPr>
            <w:r>
              <w:rPr>
                <w:sz w:val="18"/>
                <w:szCs w:val="22"/>
              </w:rPr>
              <w:t>1,760</w:t>
            </w:r>
          </w:p>
        </w:tc>
        <w:tc>
          <w:tcPr>
            <w:tcW w:w="1701" w:type="dxa"/>
            <w:vAlign w:val="center"/>
          </w:tcPr>
          <w:p w:rsidR="00433C1D" w:rsidRPr="000B009B" w:rsidRDefault="00937D37" w:rsidP="00433C1D">
            <w:pPr>
              <w:spacing w:after="0"/>
              <w:jc w:val="center"/>
              <w:rPr>
                <w:sz w:val="18"/>
                <w:szCs w:val="22"/>
              </w:rPr>
            </w:pPr>
            <w:r>
              <w:rPr>
                <w:sz w:val="18"/>
                <w:szCs w:val="22"/>
              </w:rPr>
              <w:t>264</w:t>
            </w:r>
          </w:p>
        </w:tc>
        <w:tc>
          <w:tcPr>
            <w:tcW w:w="1843" w:type="dxa"/>
            <w:vAlign w:val="center"/>
          </w:tcPr>
          <w:p w:rsidR="00433C1D" w:rsidRPr="000B009B" w:rsidRDefault="00937D37" w:rsidP="00433C1D">
            <w:pPr>
              <w:spacing w:after="0"/>
              <w:jc w:val="center"/>
              <w:rPr>
                <w:sz w:val="18"/>
                <w:szCs w:val="22"/>
              </w:rPr>
            </w:pPr>
            <w:r>
              <w:rPr>
                <w:sz w:val="18"/>
                <w:szCs w:val="22"/>
              </w:rPr>
              <w:t>2,024</w:t>
            </w:r>
          </w:p>
        </w:tc>
      </w:tr>
      <w:tr w:rsidR="00433C1D" w:rsidRPr="000B009B" w:rsidTr="00433C1D">
        <w:tc>
          <w:tcPr>
            <w:tcW w:w="1555" w:type="dxa"/>
          </w:tcPr>
          <w:p w:rsidR="00433C1D" w:rsidRPr="000B009B" w:rsidRDefault="00433C1D" w:rsidP="000B009B">
            <w:pPr>
              <w:spacing w:after="0"/>
              <w:jc w:val="left"/>
              <w:rPr>
                <w:sz w:val="18"/>
                <w:szCs w:val="22"/>
              </w:rPr>
            </w:pPr>
            <w:r>
              <w:rPr>
                <w:sz w:val="18"/>
                <w:szCs w:val="22"/>
              </w:rPr>
              <w:t>GHG emission reductions</w:t>
            </w:r>
          </w:p>
        </w:tc>
        <w:tc>
          <w:tcPr>
            <w:tcW w:w="992" w:type="dxa"/>
            <w:vAlign w:val="center"/>
          </w:tcPr>
          <w:p w:rsidR="00433C1D" w:rsidRPr="000B009B" w:rsidRDefault="00B617B6" w:rsidP="00433C1D">
            <w:pPr>
              <w:spacing w:after="0"/>
              <w:jc w:val="center"/>
              <w:rPr>
                <w:sz w:val="18"/>
                <w:szCs w:val="22"/>
              </w:rPr>
            </w:pPr>
            <w:r>
              <w:rPr>
                <w:rFonts w:asciiTheme="minorHAnsi" w:eastAsia="Times New Roman" w:hAnsiTheme="minorHAnsi" w:cstheme="minorHAnsi"/>
                <w:color w:val="000000"/>
                <w:sz w:val="18"/>
                <w:szCs w:val="20"/>
              </w:rPr>
              <w:t>(</w:t>
            </w:r>
            <w:r w:rsidR="00433C1D" w:rsidRPr="004D20E1">
              <w:rPr>
                <w:rFonts w:asciiTheme="minorHAnsi" w:eastAsia="Times New Roman" w:hAnsiTheme="minorHAnsi" w:cstheme="minorHAnsi"/>
                <w:color w:val="000000"/>
                <w:sz w:val="18"/>
                <w:szCs w:val="20"/>
              </w:rPr>
              <w:t>tCO2eq/yr</w:t>
            </w:r>
            <w:r>
              <w:rPr>
                <w:rFonts w:asciiTheme="minorHAnsi" w:eastAsia="Times New Roman" w:hAnsiTheme="minorHAnsi" w:cstheme="minorHAnsi"/>
                <w:color w:val="000000"/>
                <w:sz w:val="18"/>
                <w:szCs w:val="20"/>
              </w:rPr>
              <w:t>)</w:t>
            </w:r>
          </w:p>
        </w:tc>
        <w:tc>
          <w:tcPr>
            <w:tcW w:w="1701" w:type="dxa"/>
            <w:vAlign w:val="center"/>
          </w:tcPr>
          <w:p w:rsidR="00433C1D" w:rsidRPr="000B009B" w:rsidRDefault="00937D37" w:rsidP="00433C1D">
            <w:pPr>
              <w:spacing w:after="0"/>
              <w:jc w:val="center"/>
              <w:rPr>
                <w:sz w:val="18"/>
                <w:szCs w:val="22"/>
              </w:rPr>
            </w:pPr>
            <w:r>
              <w:rPr>
                <w:sz w:val="18"/>
                <w:szCs w:val="22"/>
              </w:rPr>
              <w:t>1,459</w:t>
            </w:r>
          </w:p>
        </w:tc>
        <w:tc>
          <w:tcPr>
            <w:tcW w:w="1701" w:type="dxa"/>
            <w:vAlign w:val="center"/>
          </w:tcPr>
          <w:p w:rsidR="00433C1D" w:rsidRPr="000B009B" w:rsidRDefault="00937D37" w:rsidP="00433C1D">
            <w:pPr>
              <w:spacing w:after="0"/>
              <w:jc w:val="center"/>
              <w:rPr>
                <w:sz w:val="18"/>
                <w:szCs w:val="22"/>
              </w:rPr>
            </w:pPr>
            <w:r>
              <w:rPr>
                <w:sz w:val="18"/>
                <w:szCs w:val="22"/>
              </w:rPr>
              <w:t>219</w:t>
            </w:r>
          </w:p>
        </w:tc>
        <w:tc>
          <w:tcPr>
            <w:tcW w:w="1843" w:type="dxa"/>
            <w:vAlign w:val="center"/>
          </w:tcPr>
          <w:p w:rsidR="00433C1D" w:rsidRPr="000B009B" w:rsidRDefault="00937D37" w:rsidP="00433C1D">
            <w:pPr>
              <w:spacing w:after="0"/>
              <w:jc w:val="center"/>
              <w:rPr>
                <w:sz w:val="18"/>
                <w:szCs w:val="22"/>
              </w:rPr>
            </w:pPr>
            <w:r>
              <w:rPr>
                <w:sz w:val="18"/>
                <w:szCs w:val="22"/>
              </w:rPr>
              <w:t>1,678</w:t>
            </w:r>
          </w:p>
        </w:tc>
      </w:tr>
    </w:tbl>
    <w:p w:rsidR="002F522A" w:rsidRDefault="002F522A" w:rsidP="00BB5402">
      <w:pPr>
        <w:spacing w:after="160" w:line="259" w:lineRule="auto"/>
        <w:jc w:val="left"/>
        <w:rPr>
          <w:szCs w:val="22"/>
        </w:rPr>
      </w:pPr>
    </w:p>
    <w:p w:rsidR="00433C1D" w:rsidRPr="00291524" w:rsidRDefault="00433C1D" w:rsidP="00291524">
      <w:pPr>
        <w:spacing w:after="160" w:line="259" w:lineRule="auto"/>
        <w:rPr>
          <w:szCs w:val="22"/>
        </w:rPr>
      </w:pPr>
      <w:r>
        <w:rPr>
          <w:szCs w:val="22"/>
        </w:rPr>
        <w:t xml:space="preserve">Over a 10-year period, total GHG reductions amount to </w:t>
      </w:r>
      <w:r w:rsidR="00937D37">
        <w:rPr>
          <w:szCs w:val="22"/>
        </w:rPr>
        <w:t>16</w:t>
      </w:r>
      <w:r>
        <w:rPr>
          <w:szCs w:val="22"/>
        </w:rPr>
        <w:t>,</w:t>
      </w:r>
      <w:r w:rsidR="00937D37">
        <w:rPr>
          <w:szCs w:val="22"/>
        </w:rPr>
        <w:t>780</w:t>
      </w:r>
      <w:r>
        <w:rPr>
          <w:szCs w:val="22"/>
        </w:rPr>
        <w:t xml:space="preserve"> tCO2 and energy savings 2</w:t>
      </w:r>
      <w:r w:rsidR="00937D37">
        <w:rPr>
          <w:szCs w:val="22"/>
        </w:rPr>
        <w:t>0</w:t>
      </w:r>
      <w:r>
        <w:rPr>
          <w:szCs w:val="22"/>
        </w:rPr>
        <w:t>,</w:t>
      </w:r>
      <w:r w:rsidR="00937D37">
        <w:rPr>
          <w:szCs w:val="22"/>
        </w:rPr>
        <w:t>240</w:t>
      </w:r>
      <w:r>
        <w:rPr>
          <w:szCs w:val="22"/>
        </w:rPr>
        <w:t xml:space="preserve"> MWh. At a price of 140 USD/MWh, the associated annual </w:t>
      </w:r>
      <w:r w:rsidR="00C6263F">
        <w:rPr>
          <w:szCs w:val="22"/>
        </w:rPr>
        <w:t xml:space="preserve">monetary </w:t>
      </w:r>
      <w:r>
        <w:rPr>
          <w:szCs w:val="22"/>
        </w:rPr>
        <w:t>savings would be</w:t>
      </w:r>
      <w:r w:rsidR="00291524">
        <w:rPr>
          <w:szCs w:val="22"/>
        </w:rPr>
        <w:t xml:space="preserve"> USD </w:t>
      </w:r>
      <w:r w:rsidR="00937D37">
        <w:rPr>
          <w:szCs w:val="22"/>
        </w:rPr>
        <w:t>283</w:t>
      </w:r>
      <w:r w:rsidR="00291524">
        <w:rPr>
          <w:szCs w:val="22"/>
        </w:rPr>
        <w:t xml:space="preserve">,000, implying a simple payback time of 10.6 </w:t>
      </w:r>
      <w:r w:rsidR="00291524" w:rsidRPr="00291524">
        <w:rPr>
          <w:szCs w:val="22"/>
        </w:rPr>
        <w:t>year.</w:t>
      </w:r>
    </w:p>
    <w:p w:rsidR="00291524" w:rsidRDefault="00291524" w:rsidP="00BB5402">
      <w:pPr>
        <w:spacing w:after="160" w:line="259" w:lineRule="auto"/>
        <w:jc w:val="left"/>
        <w:rPr>
          <w:szCs w:val="22"/>
        </w:rPr>
      </w:pPr>
    </w:p>
    <w:p w:rsidR="002F522A" w:rsidRPr="002F522A" w:rsidRDefault="002F522A" w:rsidP="00BB5402">
      <w:pPr>
        <w:spacing w:after="160" w:line="259" w:lineRule="auto"/>
        <w:jc w:val="left"/>
        <w:rPr>
          <w:szCs w:val="22"/>
          <w:u w:val="single"/>
        </w:rPr>
      </w:pPr>
      <w:r w:rsidRPr="002F522A">
        <w:rPr>
          <w:szCs w:val="22"/>
          <w:u w:val="single"/>
        </w:rPr>
        <w:t>Public lighting</w:t>
      </w:r>
    </w:p>
    <w:p w:rsidR="00A00E94" w:rsidRDefault="00F52C7D" w:rsidP="00F52C7D">
      <w:pPr>
        <w:spacing w:after="160" w:line="259" w:lineRule="auto"/>
        <w:rPr>
          <w:szCs w:val="22"/>
        </w:rPr>
      </w:pPr>
      <w:r>
        <w:rPr>
          <w:szCs w:val="22"/>
        </w:rPr>
        <w:t xml:space="preserve">The total number of public light units (luminaires) in the country is approximately 187,000, distributed over the 262 municipalities. </w:t>
      </w:r>
      <w:r w:rsidR="00B02B2F">
        <w:rPr>
          <w:szCs w:val="22"/>
        </w:rPr>
        <w:t>The public lighting service in El Salvador is a responsibility of the municipalities</w:t>
      </w:r>
      <w:r>
        <w:rPr>
          <w:szCs w:val="22"/>
        </w:rPr>
        <w:t xml:space="preserve">. The municipalities are in charge of planning, implementation and </w:t>
      </w:r>
      <w:r w:rsidR="00B02B2F">
        <w:rPr>
          <w:szCs w:val="22"/>
        </w:rPr>
        <w:t xml:space="preserve">maintenance </w:t>
      </w:r>
      <w:r>
        <w:rPr>
          <w:szCs w:val="22"/>
        </w:rPr>
        <w:t>of this service and are responsible for paying the distribution companies for the electricity consumed</w:t>
      </w:r>
      <w:r w:rsidR="00B02B2F">
        <w:rPr>
          <w:szCs w:val="22"/>
        </w:rPr>
        <w:t xml:space="preserve">. </w:t>
      </w:r>
      <w:r w:rsidR="00A00E94">
        <w:rPr>
          <w:szCs w:val="22"/>
        </w:rPr>
        <w:t xml:space="preserve">The municipalities can implement the public lighting service directly; however, it is usually outsourced to the electricity distribution companies, which are: </w:t>
      </w:r>
      <w:r w:rsidR="00A00E94" w:rsidRPr="002F522A">
        <w:rPr>
          <w:szCs w:val="22"/>
        </w:rPr>
        <w:t xml:space="preserve">CAESS, DELSUR, CLESA, EEO, DEUSEM, B&amp;D, EDESAL y ABRUZZO. </w:t>
      </w:r>
    </w:p>
    <w:p w:rsidR="002F522A" w:rsidRDefault="00F52C7D" w:rsidP="00A00E94">
      <w:pPr>
        <w:spacing w:after="160" w:line="259" w:lineRule="auto"/>
        <w:rPr>
          <w:szCs w:val="22"/>
        </w:rPr>
      </w:pPr>
      <w:r>
        <w:rPr>
          <w:szCs w:val="22"/>
        </w:rPr>
        <w:t>The necessary funds are generated through the Municipal Public Lighting Tax (</w:t>
      </w:r>
      <w:r w:rsidR="002F522A" w:rsidRPr="002F522A">
        <w:rPr>
          <w:szCs w:val="22"/>
        </w:rPr>
        <w:t>Tasa Municipal de Alumbrado</w:t>
      </w:r>
      <w:r>
        <w:rPr>
          <w:szCs w:val="22"/>
        </w:rPr>
        <w:t xml:space="preserve"> </w:t>
      </w:r>
      <w:r w:rsidR="002F522A" w:rsidRPr="002F522A">
        <w:rPr>
          <w:szCs w:val="22"/>
        </w:rPr>
        <w:t>P</w:t>
      </w:r>
      <w:r>
        <w:rPr>
          <w:szCs w:val="22"/>
        </w:rPr>
        <w:t xml:space="preserve">úblico - </w:t>
      </w:r>
      <w:r w:rsidR="002F522A" w:rsidRPr="002F522A">
        <w:rPr>
          <w:szCs w:val="22"/>
        </w:rPr>
        <w:t xml:space="preserve">TMAP), </w:t>
      </w:r>
      <w:r>
        <w:rPr>
          <w:szCs w:val="22"/>
        </w:rPr>
        <w:t xml:space="preserve">which is set annually by each Municipal Council. The TMAP can be collected directly by each municipality or by the distribution company under an agreement, in which case the TMAP is included in the electricity bill of the consumers. The tariff has not hold pace with the actual costs of the public lighting service which has led to a deterioration of the service. The lack of funding represents a barrier for implementing energy efficiency measures such as a change in technology. </w:t>
      </w:r>
      <w:r w:rsidR="00A00E94">
        <w:rPr>
          <w:szCs w:val="22"/>
        </w:rPr>
        <w:t>It is important to note that the tariffs do not cover maintenance, installation and substitution of luminaires.</w:t>
      </w:r>
    </w:p>
    <w:p w:rsidR="002F522A" w:rsidRDefault="00A00E94" w:rsidP="00A00E94">
      <w:pPr>
        <w:spacing w:after="160" w:line="259" w:lineRule="auto"/>
        <w:rPr>
          <w:szCs w:val="22"/>
        </w:rPr>
      </w:pPr>
      <w:r>
        <w:rPr>
          <w:szCs w:val="22"/>
        </w:rPr>
        <w:t>An assessment of the total stock of public light units in the country learns, that 31% is located in only 5 municipalities and, at the other side of the spectrum, there are 200 municipalities which on average count only 234 luminaires (see next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1201"/>
        <w:gridCol w:w="1204"/>
        <w:gridCol w:w="1843"/>
        <w:gridCol w:w="992"/>
        <w:gridCol w:w="1134"/>
        <w:gridCol w:w="1985"/>
      </w:tblGrid>
      <w:tr w:rsidR="00B33877" w:rsidRPr="00B33877" w:rsidTr="00B617B6">
        <w:trPr>
          <w:trHeight w:val="240"/>
        </w:trPr>
        <w:tc>
          <w:tcPr>
            <w:tcW w:w="8359" w:type="dxa"/>
            <w:gridSpan w:val="6"/>
            <w:vAlign w:val="center"/>
            <w:hideMark/>
          </w:tcPr>
          <w:p w:rsidR="00B33877" w:rsidRPr="00B33877" w:rsidRDefault="00B33877" w:rsidP="00B45E1C">
            <w:pPr>
              <w:spacing w:after="0"/>
              <w:jc w:val="left"/>
              <w:rPr>
                <w:rFonts w:asciiTheme="minorHAnsi" w:eastAsia="Times New Roman" w:hAnsiTheme="minorHAnsi" w:cstheme="minorHAnsi"/>
                <w:smallCaps/>
                <w:color w:val="000000"/>
                <w:sz w:val="18"/>
                <w:szCs w:val="20"/>
              </w:rPr>
            </w:pPr>
            <w:r w:rsidRPr="00B33877">
              <w:rPr>
                <w:rFonts w:asciiTheme="minorHAnsi" w:eastAsia="Times New Roman" w:hAnsiTheme="minorHAnsi" w:cstheme="minorHAnsi"/>
                <w:smallCaps/>
                <w:color w:val="000000"/>
                <w:szCs w:val="20"/>
              </w:rPr>
              <w:t>Distribution of public light units per municipality</w:t>
            </w:r>
            <w:r w:rsidRPr="00B33877">
              <w:rPr>
                <w:rStyle w:val="FootnoteReference"/>
                <w:rFonts w:asciiTheme="minorHAnsi" w:eastAsia="Times New Roman" w:hAnsiTheme="minorHAnsi" w:cstheme="minorHAnsi"/>
                <w:smallCaps/>
                <w:color w:val="000000"/>
                <w:szCs w:val="20"/>
              </w:rPr>
              <w:footnoteReference w:id="9"/>
            </w:r>
          </w:p>
        </w:tc>
      </w:tr>
      <w:tr w:rsidR="00B617B6" w:rsidRPr="00B33877" w:rsidTr="00B617B6">
        <w:trPr>
          <w:trHeight w:val="255"/>
        </w:trPr>
        <w:tc>
          <w:tcPr>
            <w:tcW w:w="1201"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bCs/>
                <w:color w:val="000000"/>
                <w:sz w:val="18"/>
                <w:szCs w:val="20"/>
              </w:rPr>
              <w:t>N</w:t>
            </w:r>
            <w:r w:rsidRPr="00B617B6">
              <w:rPr>
                <w:rFonts w:asciiTheme="minorHAnsi" w:eastAsia="Times New Roman" w:hAnsiTheme="minorHAnsi" w:cstheme="minorHAnsi"/>
                <w:bCs/>
                <w:color w:val="000000"/>
                <w:sz w:val="18"/>
                <w:szCs w:val="20"/>
              </w:rPr>
              <w:t>umber of light units</w:t>
            </w:r>
          </w:p>
        </w:tc>
        <w:tc>
          <w:tcPr>
            <w:tcW w:w="1204"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Number of municipalities</w:t>
            </w:r>
          </w:p>
        </w:tc>
        <w:tc>
          <w:tcPr>
            <w:tcW w:w="1843"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Name of municipality</w:t>
            </w:r>
          </w:p>
        </w:tc>
        <w:tc>
          <w:tcPr>
            <w:tcW w:w="2126" w:type="dxa"/>
            <w:gridSpan w:val="2"/>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bCs/>
                <w:color w:val="000000"/>
                <w:sz w:val="18"/>
                <w:szCs w:val="20"/>
              </w:rPr>
              <w:t>Number of light units</w:t>
            </w:r>
          </w:p>
        </w:tc>
        <w:tc>
          <w:tcPr>
            <w:tcW w:w="1985"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 xml:space="preserve">Average </w:t>
            </w:r>
            <w:r>
              <w:rPr>
                <w:rFonts w:asciiTheme="minorHAnsi" w:eastAsia="Times New Roman" w:hAnsiTheme="minorHAnsi" w:cstheme="minorHAnsi"/>
                <w:bCs/>
                <w:color w:val="000000"/>
                <w:sz w:val="18"/>
                <w:szCs w:val="20"/>
              </w:rPr>
              <w:t xml:space="preserve">number of light units </w:t>
            </w:r>
            <w:r w:rsidRPr="00B617B6">
              <w:rPr>
                <w:rFonts w:asciiTheme="minorHAnsi" w:eastAsia="Times New Roman" w:hAnsiTheme="minorHAnsi" w:cstheme="minorHAnsi"/>
                <w:bCs/>
                <w:color w:val="000000"/>
                <w:sz w:val="18"/>
                <w:szCs w:val="20"/>
              </w:rPr>
              <w:t>per municipality</w:t>
            </w:r>
          </w:p>
        </w:tc>
      </w:tr>
      <w:tr w:rsidR="00B617B6" w:rsidRPr="00B33877" w:rsidTr="00B617B6">
        <w:trPr>
          <w:trHeight w:val="255"/>
        </w:trPr>
        <w:tc>
          <w:tcPr>
            <w:tcW w:w="1201" w:type="dxa"/>
            <w:vAlign w:val="center"/>
          </w:tcPr>
          <w:p w:rsidR="00B33877" w:rsidRPr="00B617B6" w:rsidRDefault="00B617B6" w:rsidP="00B617B6">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(range)</w:t>
            </w:r>
          </w:p>
        </w:tc>
        <w:tc>
          <w:tcPr>
            <w:tcW w:w="1204" w:type="dxa"/>
            <w:vAlign w:val="center"/>
          </w:tcPr>
          <w:p w:rsidR="00B33877" w:rsidRPr="00B617B6" w:rsidRDefault="00B617B6" w:rsidP="00B617B6">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w:t>
            </w:r>
          </w:p>
        </w:tc>
        <w:tc>
          <w:tcPr>
            <w:tcW w:w="1843" w:type="dxa"/>
            <w:vAlign w:val="center"/>
          </w:tcPr>
          <w:p w:rsidR="00B33877" w:rsidRPr="00B617B6" w:rsidRDefault="00B617B6" w:rsidP="00B617B6">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w:t>
            </w:r>
          </w:p>
        </w:tc>
        <w:tc>
          <w:tcPr>
            <w:tcW w:w="992" w:type="dxa"/>
            <w:vAlign w:val="center"/>
          </w:tcPr>
          <w:p w:rsidR="00B33877" w:rsidRPr="00B617B6" w:rsidRDefault="00B617B6" w:rsidP="00B617B6">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w:t>
            </w:r>
          </w:p>
        </w:tc>
        <w:tc>
          <w:tcPr>
            <w:tcW w:w="1134" w:type="dxa"/>
            <w:vAlign w:val="center"/>
          </w:tcPr>
          <w:p w:rsidR="00B33877" w:rsidRPr="00B617B6" w:rsidRDefault="00B617B6" w:rsidP="00B617B6">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w:t>
            </w:r>
            <w:r w:rsidRPr="00B617B6">
              <w:rPr>
                <w:rFonts w:asciiTheme="minorHAnsi" w:eastAsia="Times New Roman" w:hAnsiTheme="minorHAnsi" w:cstheme="minorHAnsi"/>
                <w:bCs/>
                <w:color w:val="000000"/>
                <w:sz w:val="18"/>
                <w:szCs w:val="20"/>
              </w:rPr>
              <w:t>%</w:t>
            </w:r>
            <w:r>
              <w:rPr>
                <w:rFonts w:asciiTheme="minorHAnsi" w:eastAsia="Times New Roman" w:hAnsiTheme="minorHAnsi" w:cstheme="minorHAnsi"/>
                <w:bCs/>
                <w:color w:val="000000"/>
                <w:sz w:val="18"/>
                <w:szCs w:val="20"/>
              </w:rPr>
              <w:t>)</w:t>
            </w:r>
          </w:p>
        </w:tc>
        <w:tc>
          <w:tcPr>
            <w:tcW w:w="1985" w:type="dxa"/>
            <w:vAlign w:val="center"/>
          </w:tcPr>
          <w:p w:rsidR="00B33877" w:rsidRPr="00B617B6" w:rsidRDefault="00B617B6" w:rsidP="00B617B6">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w:t>
            </w:r>
          </w:p>
        </w:tc>
      </w:tr>
      <w:tr w:rsidR="00B617B6" w:rsidRPr="00B33877" w:rsidTr="00B617B6">
        <w:trPr>
          <w:trHeight w:val="255"/>
        </w:trPr>
        <w:tc>
          <w:tcPr>
            <w:tcW w:w="1201"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&gt;10,000</w:t>
            </w:r>
          </w:p>
        </w:tc>
        <w:tc>
          <w:tcPr>
            <w:tcW w:w="1204"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1</w:t>
            </w:r>
          </w:p>
        </w:tc>
        <w:tc>
          <w:tcPr>
            <w:tcW w:w="1843"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San Salvador</w:t>
            </w:r>
          </w:p>
        </w:tc>
        <w:tc>
          <w:tcPr>
            <w:tcW w:w="992"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25,309</w:t>
            </w:r>
          </w:p>
        </w:tc>
        <w:tc>
          <w:tcPr>
            <w:tcW w:w="1134"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13.5%</w:t>
            </w:r>
          </w:p>
        </w:tc>
        <w:tc>
          <w:tcPr>
            <w:tcW w:w="1985"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25,309</w:t>
            </w:r>
          </w:p>
        </w:tc>
      </w:tr>
      <w:tr w:rsidR="00B617B6" w:rsidRPr="00B33877" w:rsidTr="00B617B6">
        <w:trPr>
          <w:trHeight w:val="705"/>
        </w:trPr>
        <w:tc>
          <w:tcPr>
            <w:tcW w:w="1201"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5,500-10,000</w:t>
            </w:r>
          </w:p>
        </w:tc>
        <w:tc>
          <w:tcPr>
            <w:tcW w:w="1204"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4</w:t>
            </w:r>
          </w:p>
        </w:tc>
        <w:tc>
          <w:tcPr>
            <w:tcW w:w="1843"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Santa Ana, San Miguel, Soyapango, Santa Tecla</w:t>
            </w:r>
          </w:p>
        </w:tc>
        <w:tc>
          <w:tcPr>
            <w:tcW w:w="992"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32,803</w:t>
            </w:r>
          </w:p>
        </w:tc>
        <w:tc>
          <w:tcPr>
            <w:tcW w:w="1134"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17.5%</w:t>
            </w:r>
          </w:p>
        </w:tc>
        <w:tc>
          <w:tcPr>
            <w:tcW w:w="1985"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8,201</w:t>
            </w:r>
          </w:p>
        </w:tc>
      </w:tr>
      <w:tr w:rsidR="00B617B6" w:rsidRPr="00B33877" w:rsidTr="00B617B6">
        <w:trPr>
          <w:trHeight w:val="255"/>
        </w:trPr>
        <w:tc>
          <w:tcPr>
            <w:tcW w:w="1201"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1,000-5,500</w:t>
            </w:r>
          </w:p>
        </w:tc>
        <w:tc>
          <w:tcPr>
            <w:tcW w:w="1204"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57</w:t>
            </w:r>
          </w:p>
        </w:tc>
        <w:tc>
          <w:tcPr>
            <w:tcW w:w="1843"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57 municipalities</w:t>
            </w:r>
          </w:p>
        </w:tc>
        <w:tc>
          <w:tcPr>
            <w:tcW w:w="992"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82,280</w:t>
            </w:r>
          </w:p>
        </w:tc>
        <w:tc>
          <w:tcPr>
            <w:tcW w:w="1134"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44.0%</w:t>
            </w:r>
          </w:p>
        </w:tc>
        <w:tc>
          <w:tcPr>
            <w:tcW w:w="1985"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1,444</w:t>
            </w:r>
          </w:p>
        </w:tc>
      </w:tr>
      <w:tr w:rsidR="00B617B6" w:rsidRPr="00B33877" w:rsidTr="00B617B6">
        <w:trPr>
          <w:trHeight w:val="255"/>
        </w:trPr>
        <w:tc>
          <w:tcPr>
            <w:tcW w:w="1201"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&lt;1,000</w:t>
            </w:r>
          </w:p>
        </w:tc>
        <w:tc>
          <w:tcPr>
            <w:tcW w:w="1204" w:type="dxa"/>
            <w:vAlign w:val="center"/>
            <w:hideMark/>
          </w:tcPr>
          <w:p w:rsidR="00B33877" w:rsidRPr="00B33877" w:rsidRDefault="00B33877" w:rsidP="00B617B6">
            <w:pPr>
              <w:spacing w:after="0"/>
              <w:jc w:val="center"/>
              <w:rPr>
                <w:rFonts w:asciiTheme="minorHAnsi" w:eastAsia="Times New Roman" w:hAnsiTheme="minorHAnsi" w:cstheme="minorHAnsi"/>
                <w:color w:val="000000"/>
                <w:sz w:val="18"/>
                <w:szCs w:val="20"/>
              </w:rPr>
            </w:pPr>
            <w:r w:rsidRPr="00B33877">
              <w:rPr>
                <w:rFonts w:asciiTheme="minorHAnsi" w:eastAsia="Times New Roman" w:hAnsiTheme="minorHAnsi" w:cstheme="minorHAnsi"/>
                <w:color w:val="000000"/>
                <w:sz w:val="18"/>
                <w:szCs w:val="20"/>
              </w:rPr>
              <w:t>200</w:t>
            </w:r>
          </w:p>
        </w:tc>
        <w:tc>
          <w:tcPr>
            <w:tcW w:w="1843"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remainder</w:t>
            </w:r>
          </w:p>
        </w:tc>
        <w:tc>
          <w:tcPr>
            <w:tcW w:w="992"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46,797</w:t>
            </w:r>
          </w:p>
        </w:tc>
        <w:tc>
          <w:tcPr>
            <w:tcW w:w="1134"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25.0%</w:t>
            </w:r>
          </w:p>
        </w:tc>
        <w:tc>
          <w:tcPr>
            <w:tcW w:w="1985" w:type="dxa"/>
            <w:vAlign w:val="center"/>
            <w:hideMark/>
          </w:tcPr>
          <w:p w:rsidR="00B33877" w:rsidRPr="00B617B6" w:rsidRDefault="00B33877"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color w:val="000000"/>
                <w:sz w:val="18"/>
                <w:szCs w:val="20"/>
              </w:rPr>
              <w:t>234</w:t>
            </w:r>
          </w:p>
        </w:tc>
      </w:tr>
      <w:tr w:rsidR="00B617B6" w:rsidRPr="00B33877" w:rsidTr="00937D37">
        <w:trPr>
          <w:trHeight w:val="240"/>
        </w:trPr>
        <w:tc>
          <w:tcPr>
            <w:tcW w:w="4248" w:type="dxa"/>
            <w:gridSpan w:val="3"/>
            <w:vAlign w:val="center"/>
            <w:hideMark/>
          </w:tcPr>
          <w:p w:rsidR="00B617B6" w:rsidRPr="00B617B6" w:rsidRDefault="00B617B6" w:rsidP="00B617B6">
            <w:pPr>
              <w:spacing w:after="0"/>
              <w:jc w:val="left"/>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TOTAL</w:t>
            </w:r>
          </w:p>
        </w:tc>
        <w:tc>
          <w:tcPr>
            <w:tcW w:w="992"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187,189</w:t>
            </w:r>
          </w:p>
        </w:tc>
        <w:tc>
          <w:tcPr>
            <w:tcW w:w="1134"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r w:rsidRPr="00B617B6">
              <w:rPr>
                <w:rFonts w:asciiTheme="minorHAnsi" w:eastAsia="Times New Roman" w:hAnsiTheme="minorHAnsi" w:cstheme="minorHAnsi"/>
                <w:bCs/>
                <w:color w:val="000000"/>
                <w:sz w:val="18"/>
                <w:szCs w:val="20"/>
              </w:rPr>
              <w:t>100.0%</w:t>
            </w:r>
          </w:p>
        </w:tc>
        <w:tc>
          <w:tcPr>
            <w:tcW w:w="1985" w:type="dxa"/>
            <w:vAlign w:val="center"/>
            <w:hideMark/>
          </w:tcPr>
          <w:p w:rsidR="00B617B6" w:rsidRPr="00B617B6" w:rsidRDefault="00B617B6" w:rsidP="00B617B6">
            <w:pPr>
              <w:spacing w:after="0"/>
              <w:jc w:val="center"/>
              <w:rPr>
                <w:rFonts w:asciiTheme="minorHAnsi" w:eastAsia="Times New Roman" w:hAnsiTheme="minorHAnsi" w:cstheme="minorHAnsi"/>
                <w:color w:val="000000"/>
                <w:sz w:val="18"/>
                <w:szCs w:val="20"/>
              </w:rPr>
            </w:pPr>
          </w:p>
        </w:tc>
      </w:tr>
    </w:tbl>
    <w:p w:rsidR="00B45E1C" w:rsidRDefault="00B45E1C" w:rsidP="002F522A">
      <w:pPr>
        <w:spacing w:after="160" w:line="259" w:lineRule="auto"/>
        <w:jc w:val="left"/>
        <w:rPr>
          <w:szCs w:val="22"/>
        </w:rPr>
      </w:pPr>
    </w:p>
    <w:p w:rsidR="00591CEC" w:rsidRDefault="00A00E94" w:rsidP="00591CEC">
      <w:pPr>
        <w:spacing w:after="160" w:line="259" w:lineRule="auto"/>
        <w:rPr>
          <w:szCs w:val="22"/>
        </w:rPr>
      </w:pPr>
      <w:r>
        <w:rPr>
          <w:szCs w:val="22"/>
        </w:rPr>
        <w:t xml:space="preserve">The NAMA study made an inventory of the lighting technologies in use, which range for vapor discharge lamps (mercury and high-pressure sodium) and, in the smaller municipalities, mostly fluorescent lights. </w:t>
      </w:r>
      <w:r w:rsidR="00591CEC">
        <w:rPr>
          <w:szCs w:val="22"/>
        </w:rPr>
        <w:t>The NAMA study proposes the r</w:t>
      </w:r>
      <w:r w:rsidR="00591CEC" w:rsidRPr="00591CEC">
        <w:rPr>
          <w:szCs w:val="22"/>
        </w:rPr>
        <w:t>eplacement of existing public light by the most efficient technology (</w:t>
      </w:r>
      <w:r w:rsidR="00591CEC">
        <w:rPr>
          <w:szCs w:val="22"/>
        </w:rPr>
        <w:t>LED) and provides a cost estimate. For the purpose of the present GHG estimate, it is assumed that the same “mix” of measures is applied in the first batch of EE projects to be implemented under the GEF project (using US$ 2 mln cofinancing resources for i</w:t>
      </w:r>
      <w:r>
        <w:rPr>
          <w:szCs w:val="22"/>
        </w:rPr>
        <w:t>nvestment in public lighting). Then, the energy savings and GHG emission reductions can be estimated directly.</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3681"/>
        <w:gridCol w:w="850"/>
        <w:gridCol w:w="851"/>
        <w:gridCol w:w="1276"/>
        <w:gridCol w:w="1275"/>
        <w:gridCol w:w="1134"/>
      </w:tblGrid>
      <w:tr w:rsidR="00591CEC" w:rsidRPr="004D20E1" w:rsidTr="000B009B">
        <w:trPr>
          <w:trHeight w:val="255"/>
        </w:trPr>
        <w:tc>
          <w:tcPr>
            <w:tcW w:w="9067" w:type="dxa"/>
            <w:gridSpan w:val="6"/>
            <w:vAlign w:val="center"/>
            <w:hideMark/>
          </w:tcPr>
          <w:p w:rsidR="00591CEC" w:rsidRPr="004D20E1" w:rsidRDefault="00591CEC" w:rsidP="000B009B">
            <w:pPr>
              <w:spacing w:after="0"/>
              <w:jc w:val="left"/>
              <w:rPr>
                <w:rFonts w:asciiTheme="minorHAnsi" w:eastAsia="Times New Roman" w:hAnsiTheme="minorHAnsi" w:cstheme="minorHAnsi"/>
                <w:color w:val="000000"/>
                <w:sz w:val="18"/>
                <w:szCs w:val="20"/>
              </w:rPr>
            </w:pPr>
            <w:r w:rsidRPr="004D20E1">
              <w:rPr>
                <w:rFonts w:asciiTheme="minorHAnsi" w:eastAsia="Times New Roman" w:hAnsiTheme="minorHAnsi" w:cstheme="minorHAnsi"/>
                <w:smallCaps/>
                <w:color w:val="000000"/>
                <w:szCs w:val="20"/>
              </w:rPr>
              <w:t>NAMA Public Lighting</w:t>
            </w:r>
            <w:r>
              <w:rPr>
                <w:rStyle w:val="FootnoteReference"/>
                <w:rFonts w:asciiTheme="minorHAnsi" w:eastAsia="Times New Roman" w:hAnsiTheme="minorHAnsi" w:cstheme="minorHAnsi"/>
                <w:bCs/>
                <w:color w:val="000000"/>
                <w:sz w:val="18"/>
                <w:szCs w:val="20"/>
              </w:rPr>
              <w:footnoteReference w:id="10"/>
            </w:r>
          </w:p>
        </w:tc>
      </w:tr>
      <w:tr w:rsidR="00591CEC" w:rsidRPr="004D20E1" w:rsidTr="000B009B">
        <w:trPr>
          <w:trHeight w:val="240"/>
        </w:trPr>
        <w:tc>
          <w:tcPr>
            <w:tcW w:w="3681" w:type="dxa"/>
            <w:vMerge w:val="restart"/>
            <w:vAlign w:val="center"/>
          </w:tcPr>
          <w:p w:rsidR="00591CEC" w:rsidRPr="004D20E1" w:rsidRDefault="00591CEC" w:rsidP="000B009B">
            <w:pPr>
              <w:spacing w:after="0"/>
              <w:jc w:val="left"/>
              <w:rPr>
                <w:rFonts w:asciiTheme="minorHAnsi" w:eastAsia="Times New Roman" w:hAnsiTheme="minorHAnsi" w:cstheme="minorHAnsi"/>
                <w:color w:val="000000"/>
                <w:sz w:val="18"/>
                <w:szCs w:val="20"/>
              </w:rPr>
            </w:pPr>
          </w:p>
        </w:tc>
        <w:tc>
          <w:tcPr>
            <w:tcW w:w="5386" w:type="dxa"/>
            <w:gridSpan w:val="5"/>
            <w:vAlign w:val="center"/>
          </w:tcPr>
          <w:p w:rsidR="00591CEC" w:rsidRPr="00E55B99" w:rsidRDefault="00591CEC" w:rsidP="000B009B">
            <w:pPr>
              <w:spacing w:after="0"/>
              <w:jc w:val="center"/>
              <w:rPr>
                <w:rFonts w:asciiTheme="minorHAnsi" w:eastAsia="Times New Roman" w:hAnsiTheme="minorHAnsi" w:cstheme="minorHAnsi"/>
                <w:smallCaps/>
                <w:color w:val="000000"/>
                <w:sz w:val="18"/>
                <w:szCs w:val="20"/>
              </w:rPr>
            </w:pPr>
            <w:r w:rsidRPr="00E55B99">
              <w:rPr>
                <w:rFonts w:asciiTheme="minorHAnsi" w:eastAsia="Times New Roman" w:hAnsiTheme="minorHAnsi" w:cstheme="minorHAnsi"/>
                <w:smallCaps/>
                <w:color w:val="000000"/>
                <w:sz w:val="18"/>
                <w:szCs w:val="20"/>
              </w:rPr>
              <w:t>Intervention Key Data</w:t>
            </w:r>
          </w:p>
        </w:tc>
      </w:tr>
      <w:tr w:rsidR="00591CEC" w:rsidRPr="004D20E1" w:rsidTr="000B009B">
        <w:trPr>
          <w:trHeight w:val="240"/>
        </w:trPr>
        <w:tc>
          <w:tcPr>
            <w:tcW w:w="3681" w:type="dxa"/>
            <w:vMerge/>
            <w:vAlign w:val="center"/>
            <w:hideMark/>
          </w:tcPr>
          <w:p w:rsidR="00591CEC" w:rsidRPr="004D20E1" w:rsidRDefault="00591CEC" w:rsidP="000B009B">
            <w:pPr>
              <w:spacing w:after="0"/>
              <w:jc w:val="left"/>
              <w:rPr>
                <w:rFonts w:asciiTheme="minorHAnsi" w:eastAsia="Times New Roman" w:hAnsiTheme="minorHAnsi" w:cstheme="minorHAnsi"/>
                <w:color w:val="000000"/>
                <w:sz w:val="18"/>
                <w:szCs w:val="20"/>
              </w:rPr>
            </w:pPr>
          </w:p>
        </w:tc>
        <w:tc>
          <w:tcPr>
            <w:tcW w:w="1701" w:type="dxa"/>
            <w:gridSpan w:val="2"/>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Investment</w:t>
            </w:r>
          </w:p>
        </w:tc>
        <w:tc>
          <w:tcPr>
            <w:tcW w:w="1276"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Number of public light units</w:t>
            </w:r>
          </w:p>
        </w:tc>
        <w:tc>
          <w:tcPr>
            <w:tcW w:w="1275"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Electric energy savings</w:t>
            </w:r>
          </w:p>
        </w:tc>
        <w:tc>
          <w:tcPr>
            <w:tcW w:w="1134"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GHG emission reductions</w:t>
            </w:r>
          </w:p>
        </w:tc>
      </w:tr>
      <w:tr w:rsidR="00591CEC" w:rsidRPr="004D20E1" w:rsidTr="000B009B">
        <w:trPr>
          <w:trHeight w:val="240"/>
        </w:trPr>
        <w:tc>
          <w:tcPr>
            <w:tcW w:w="3681" w:type="dxa"/>
            <w:vAlign w:val="center"/>
            <w:hideMark/>
          </w:tcPr>
          <w:p w:rsidR="00591CEC" w:rsidRPr="004D20E1" w:rsidRDefault="00591CEC" w:rsidP="000B009B">
            <w:pPr>
              <w:spacing w:after="0"/>
              <w:jc w:val="left"/>
              <w:rPr>
                <w:rFonts w:asciiTheme="minorHAnsi" w:eastAsia="Times New Roman" w:hAnsiTheme="minorHAnsi" w:cstheme="minorHAnsi"/>
                <w:smallCaps/>
                <w:color w:val="000000"/>
                <w:sz w:val="18"/>
                <w:szCs w:val="20"/>
              </w:rPr>
            </w:pPr>
            <w:r w:rsidRPr="00E55B99">
              <w:rPr>
                <w:rFonts w:asciiTheme="minorHAnsi" w:eastAsia="Times New Roman" w:hAnsiTheme="minorHAnsi" w:cstheme="minorHAnsi"/>
                <w:smallCaps/>
                <w:color w:val="000000"/>
                <w:sz w:val="18"/>
                <w:szCs w:val="20"/>
              </w:rPr>
              <w:t xml:space="preserve">Proposed </w:t>
            </w:r>
            <w:r w:rsidRPr="004D20E1">
              <w:rPr>
                <w:rFonts w:asciiTheme="minorHAnsi" w:eastAsia="Times New Roman" w:hAnsiTheme="minorHAnsi" w:cstheme="minorHAnsi"/>
                <w:smallCaps/>
                <w:color w:val="000000"/>
                <w:sz w:val="18"/>
                <w:szCs w:val="20"/>
              </w:rPr>
              <w:t>Measure</w:t>
            </w:r>
          </w:p>
        </w:tc>
        <w:tc>
          <w:tcPr>
            <w:tcW w:w="850"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project</w:t>
            </w:r>
          </w:p>
        </w:tc>
        <w:tc>
          <w:tcPr>
            <w:tcW w:w="851"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US$ (mln)</w:t>
            </w:r>
          </w:p>
        </w:tc>
        <w:tc>
          <w:tcPr>
            <w:tcW w:w="1276"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w:t>
            </w:r>
          </w:p>
        </w:tc>
        <w:tc>
          <w:tcPr>
            <w:tcW w:w="1275"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Mwh/yr</w:t>
            </w:r>
          </w:p>
        </w:tc>
        <w:tc>
          <w:tcPr>
            <w:tcW w:w="1134"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tCO2eq/yr</w:t>
            </w:r>
          </w:p>
        </w:tc>
      </w:tr>
      <w:tr w:rsidR="00591CEC" w:rsidRPr="004D20E1" w:rsidTr="000B009B">
        <w:trPr>
          <w:trHeight w:val="532"/>
        </w:trPr>
        <w:tc>
          <w:tcPr>
            <w:tcW w:w="3681" w:type="dxa"/>
            <w:vMerge w:val="restart"/>
            <w:vAlign w:val="center"/>
            <w:hideMark/>
          </w:tcPr>
          <w:p w:rsidR="00591CEC" w:rsidRPr="004D20E1" w:rsidRDefault="00591CEC" w:rsidP="000B009B">
            <w:pPr>
              <w:spacing w:after="0"/>
              <w:jc w:val="left"/>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 xml:space="preserve">Replacement of existing </w:t>
            </w:r>
            <w:r>
              <w:rPr>
                <w:rFonts w:asciiTheme="minorHAnsi" w:eastAsia="Times New Roman" w:hAnsiTheme="minorHAnsi" w:cstheme="minorHAnsi"/>
                <w:color w:val="000000"/>
                <w:sz w:val="18"/>
                <w:szCs w:val="20"/>
              </w:rPr>
              <w:t xml:space="preserve">public light </w:t>
            </w:r>
            <w:r w:rsidRPr="004D20E1">
              <w:rPr>
                <w:rFonts w:asciiTheme="minorHAnsi" w:eastAsia="Times New Roman" w:hAnsiTheme="minorHAnsi" w:cstheme="minorHAnsi"/>
                <w:color w:val="000000"/>
                <w:sz w:val="18"/>
                <w:szCs w:val="20"/>
              </w:rPr>
              <w:t>by the most efficient technology (LED of various capacities)</w:t>
            </w:r>
          </w:p>
        </w:tc>
        <w:tc>
          <w:tcPr>
            <w:tcW w:w="850"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NAMA</w:t>
            </w:r>
          </w:p>
        </w:tc>
        <w:tc>
          <w:tcPr>
            <w:tcW w:w="851"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 xml:space="preserve">US$ </w:t>
            </w:r>
            <w:r w:rsidRPr="004D20E1">
              <w:rPr>
                <w:rFonts w:asciiTheme="minorHAnsi" w:eastAsia="Times New Roman" w:hAnsiTheme="minorHAnsi" w:cstheme="minorHAnsi"/>
                <w:color w:val="000000"/>
                <w:sz w:val="18"/>
                <w:szCs w:val="20"/>
              </w:rPr>
              <w:t>100</w:t>
            </w:r>
          </w:p>
        </w:tc>
        <w:tc>
          <w:tcPr>
            <w:tcW w:w="1276"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184,533</w:t>
            </w:r>
          </w:p>
        </w:tc>
        <w:tc>
          <w:tcPr>
            <w:tcW w:w="1275"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87,838</w:t>
            </w:r>
          </w:p>
        </w:tc>
        <w:tc>
          <w:tcPr>
            <w:tcW w:w="1134"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68,635</w:t>
            </w:r>
          </w:p>
        </w:tc>
      </w:tr>
      <w:tr w:rsidR="00591CEC" w:rsidRPr="004D20E1" w:rsidTr="000B009B">
        <w:trPr>
          <w:trHeight w:val="255"/>
        </w:trPr>
        <w:tc>
          <w:tcPr>
            <w:tcW w:w="3681" w:type="dxa"/>
            <w:vMerge/>
            <w:vAlign w:val="center"/>
            <w:hideMark/>
          </w:tcPr>
          <w:p w:rsidR="00591CEC" w:rsidRPr="004D20E1" w:rsidRDefault="00591CEC" w:rsidP="000B009B">
            <w:pPr>
              <w:spacing w:after="0"/>
              <w:jc w:val="left"/>
              <w:rPr>
                <w:rFonts w:asciiTheme="minorHAnsi" w:eastAsia="Times New Roman" w:hAnsiTheme="minorHAnsi" w:cstheme="minorHAnsi"/>
                <w:color w:val="000000"/>
                <w:sz w:val="18"/>
                <w:szCs w:val="20"/>
              </w:rPr>
            </w:pPr>
          </w:p>
        </w:tc>
        <w:tc>
          <w:tcPr>
            <w:tcW w:w="850"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GEF</w:t>
            </w:r>
          </w:p>
        </w:tc>
        <w:tc>
          <w:tcPr>
            <w:tcW w:w="851"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 xml:space="preserve">US$ </w:t>
            </w:r>
            <w:r w:rsidRPr="004D20E1">
              <w:rPr>
                <w:rFonts w:asciiTheme="minorHAnsi" w:eastAsia="Times New Roman" w:hAnsiTheme="minorHAnsi" w:cstheme="minorHAnsi"/>
                <w:color w:val="000000"/>
                <w:sz w:val="18"/>
                <w:szCs w:val="20"/>
              </w:rPr>
              <w:t>2</w:t>
            </w:r>
            <w:r>
              <w:rPr>
                <w:rFonts w:asciiTheme="minorHAnsi" w:eastAsia="Times New Roman" w:hAnsiTheme="minorHAnsi" w:cstheme="minorHAnsi"/>
                <w:color w:val="000000"/>
                <w:sz w:val="18"/>
                <w:szCs w:val="20"/>
              </w:rPr>
              <w:t>.0</w:t>
            </w:r>
          </w:p>
        </w:tc>
        <w:tc>
          <w:tcPr>
            <w:tcW w:w="1276" w:type="dxa"/>
            <w:vAlign w:val="center"/>
          </w:tcPr>
          <w:p w:rsidR="00591CEC" w:rsidRPr="004D20E1" w:rsidRDefault="00591CEC" w:rsidP="000B009B">
            <w:pPr>
              <w:spacing w:after="0"/>
              <w:jc w:val="center"/>
              <w:rPr>
                <w:rFonts w:asciiTheme="minorHAnsi" w:eastAsia="Times New Roman" w:hAnsiTheme="minorHAnsi" w:cstheme="minorHAnsi"/>
                <w:bCs/>
                <w:color w:val="000000"/>
                <w:sz w:val="18"/>
                <w:szCs w:val="20"/>
              </w:rPr>
            </w:pPr>
            <w:r w:rsidRPr="004D20E1">
              <w:rPr>
                <w:rFonts w:asciiTheme="minorHAnsi" w:eastAsia="Times New Roman" w:hAnsiTheme="minorHAnsi" w:cstheme="minorHAnsi"/>
                <w:color w:val="000000"/>
                <w:sz w:val="18"/>
                <w:szCs w:val="20"/>
              </w:rPr>
              <w:t>3,680</w:t>
            </w:r>
          </w:p>
        </w:tc>
        <w:tc>
          <w:tcPr>
            <w:tcW w:w="1275" w:type="dxa"/>
            <w:vAlign w:val="center"/>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bCs/>
                <w:color w:val="000000"/>
                <w:sz w:val="18"/>
                <w:szCs w:val="20"/>
              </w:rPr>
              <w:t>1,752</w:t>
            </w:r>
          </w:p>
        </w:tc>
        <w:tc>
          <w:tcPr>
            <w:tcW w:w="1134" w:type="dxa"/>
            <w:vAlign w:val="center"/>
            <w:hideMark/>
          </w:tcPr>
          <w:p w:rsidR="00591CEC" w:rsidRPr="004D20E1" w:rsidRDefault="00591CEC" w:rsidP="000B009B">
            <w:pPr>
              <w:spacing w:after="0"/>
              <w:jc w:val="center"/>
              <w:rPr>
                <w:rFonts w:asciiTheme="minorHAnsi" w:eastAsia="Times New Roman" w:hAnsiTheme="minorHAnsi" w:cstheme="minorHAnsi"/>
                <w:color w:val="000000"/>
                <w:sz w:val="18"/>
                <w:szCs w:val="20"/>
              </w:rPr>
            </w:pPr>
            <w:r w:rsidRPr="004D20E1">
              <w:rPr>
                <w:rFonts w:asciiTheme="minorHAnsi" w:eastAsia="Times New Roman" w:hAnsiTheme="minorHAnsi" w:cstheme="minorHAnsi"/>
                <w:color w:val="000000"/>
                <w:sz w:val="18"/>
                <w:szCs w:val="20"/>
              </w:rPr>
              <w:t>1,369</w:t>
            </w:r>
          </w:p>
        </w:tc>
      </w:tr>
    </w:tbl>
    <w:p w:rsidR="00591CEC" w:rsidRDefault="00591CEC" w:rsidP="002F522A">
      <w:pPr>
        <w:spacing w:after="160" w:line="259" w:lineRule="auto"/>
        <w:jc w:val="left"/>
        <w:rPr>
          <w:szCs w:val="22"/>
        </w:rPr>
      </w:pPr>
    </w:p>
    <w:p w:rsidR="00591CEC" w:rsidRDefault="00C6263F" w:rsidP="00C6263F">
      <w:pPr>
        <w:spacing w:after="160" w:line="259" w:lineRule="auto"/>
        <w:rPr>
          <w:szCs w:val="22"/>
        </w:rPr>
      </w:pPr>
      <w:r>
        <w:rPr>
          <w:szCs w:val="22"/>
        </w:rPr>
        <w:t xml:space="preserve">Over a 10-year period, total GHG reductions amount to </w:t>
      </w:r>
      <w:r w:rsidR="003651DF">
        <w:rPr>
          <w:szCs w:val="22"/>
        </w:rPr>
        <w:t>13</w:t>
      </w:r>
      <w:r>
        <w:rPr>
          <w:szCs w:val="22"/>
        </w:rPr>
        <w:t>,</w:t>
      </w:r>
      <w:r w:rsidR="003651DF">
        <w:rPr>
          <w:szCs w:val="22"/>
        </w:rPr>
        <w:t>69</w:t>
      </w:r>
      <w:r>
        <w:rPr>
          <w:szCs w:val="22"/>
        </w:rPr>
        <w:t xml:space="preserve">0 tCO2 and energy savings </w:t>
      </w:r>
      <w:r w:rsidR="003651DF">
        <w:rPr>
          <w:szCs w:val="22"/>
        </w:rPr>
        <w:t>17</w:t>
      </w:r>
      <w:r>
        <w:rPr>
          <w:szCs w:val="22"/>
        </w:rPr>
        <w:t>,</w:t>
      </w:r>
      <w:r w:rsidR="003651DF">
        <w:rPr>
          <w:szCs w:val="22"/>
        </w:rPr>
        <w:t>520</w:t>
      </w:r>
      <w:r>
        <w:rPr>
          <w:szCs w:val="22"/>
        </w:rPr>
        <w:t xml:space="preserve"> MWh. It is noted that that the tariff for public lighting (approx 200 USD/MWh, depending on the local electricity distribution company) is higher than for public buildings. At this tariff, the associated annual monetary savings would be USD 350,000, implying a simple payback time of 5.7 </w:t>
      </w:r>
      <w:r w:rsidRPr="00291524">
        <w:rPr>
          <w:szCs w:val="22"/>
        </w:rPr>
        <w:t>year.</w:t>
      </w:r>
      <w:r>
        <w:rPr>
          <w:szCs w:val="22"/>
        </w:rPr>
        <w:t xml:space="preserve">  </w:t>
      </w:r>
    </w:p>
    <w:p w:rsidR="00A00E94" w:rsidRDefault="00A00E94" w:rsidP="00C6263F">
      <w:pPr>
        <w:spacing w:after="160" w:line="259" w:lineRule="auto"/>
        <w:rPr>
          <w:szCs w:val="22"/>
        </w:rPr>
      </w:pPr>
    </w:p>
    <w:p w:rsidR="00C6263F" w:rsidRPr="00DD0AC4" w:rsidRDefault="00DD0AC4" w:rsidP="002F522A">
      <w:pPr>
        <w:spacing w:after="160" w:line="259" w:lineRule="auto"/>
        <w:jc w:val="left"/>
        <w:rPr>
          <w:b/>
          <w:szCs w:val="22"/>
          <w:u w:val="single"/>
        </w:rPr>
      </w:pPr>
      <w:r w:rsidRPr="00DD0AC4">
        <w:rPr>
          <w:b/>
          <w:szCs w:val="22"/>
          <w:u w:val="single"/>
        </w:rPr>
        <w:t xml:space="preserve">3. </w:t>
      </w:r>
      <w:r w:rsidR="00C6263F" w:rsidRPr="00DD0AC4">
        <w:rPr>
          <w:b/>
          <w:szCs w:val="22"/>
          <w:u w:val="single"/>
        </w:rPr>
        <w:t>Summary of expected economic and environmental (GHG) benefits</w:t>
      </w:r>
    </w:p>
    <w:p w:rsidR="002F522A" w:rsidRDefault="002F522A" w:rsidP="002F522A">
      <w:pPr>
        <w:spacing w:after="160" w:line="259" w:lineRule="auto"/>
        <w:jc w:val="left"/>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4A0" w:firstRow="1" w:lastRow="0" w:firstColumn="1" w:lastColumn="0" w:noHBand="0" w:noVBand="1"/>
      </w:tblPr>
      <w:tblGrid>
        <w:gridCol w:w="1390"/>
        <w:gridCol w:w="1152"/>
        <w:gridCol w:w="1176"/>
        <w:gridCol w:w="1185"/>
        <w:gridCol w:w="1199"/>
        <w:gridCol w:w="1697"/>
        <w:gridCol w:w="1217"/>
      </w:tblGrid>
      <w:tr w:rsidR="009F4BC3" w:rsidRPr="009F4BC3" w:rsidTr="003651DF">
        <w:tc>
          <w:tcPr>
            <w:tcW w:w="9016" w:type="dxa"/>
            <w:gridSpan w:val="7"/>
            <w:vAlign w:val="center"/>
          </w:tcPr>
          <w:p w:rsidR="009F4BC3" w:rsidRPr="003651DF" w:rsidRDefault="009F4BC3" w:rsidP="00DD7E6C">
            <w:pPr>
              <w:spacing w:after="0"/>
              <w:jc w:val="left"/>
              <w:rPr>
                <w:rFonts w:eastAsia="Times New Roman" w:cs="Calibri"/>
                <w:smallCaps/>
                <w:color w:val="000000"/>
                <w:sz w:val="18"/>
                <w:szCs w:val="20"/>
              </w:rPr>
            </w:pPr>
            <w:r w:rsidRPr="003651DF">
              <w:rPr>
                <w:rFonts w:eastAsia="Times New Roman" w:cs="Calibri"/>
                <w:smallCaps/>
                <w:color w:val="000000"/>
                <w:szCs w:val="20"/>
              </w:rPr>
              <w:t>Summary of expected economic and environmental (GHG) benefits</w:t>
            </w:r>
          </w:p>
        </w:tc>
      </w:tr>
      <w:tr w:rsidR="009F4BC3" w:rsidRPr="009F4BC3" w:rsidTr="003651DF">
        <w:tc>
          <w:tcPr>
            <w:tcW w:w="1390" w:type="dxa"/>
            <w:vAlign w:val="center"/>
          </w:tcPr>
          <w:p w:rsidR="009F4BC3" w:rsidRPr="003651DF" w:rsidRDefault="009F4BC3" w:rsidP="00DD7E6C">
            <w:pPr>
              <w:spacing w:after="0"/>
              <w:jc w:val="left"/>
              <w:rPr>
                <w:rFonts w:asciiTheme="minorHAnsi" w:eastAsia="Times New Roman" w:hAnsiTheme="minorHAnsi" w:cstheme="minorHAnsi"/>
                <w:color w:val="000000"/>
                <w:sz w:val="18"/>
                <w:szCs w:val="20"/>
              </w:rPr>
            </w:pPr>
          </w:p>
        </w:tc>
        <w:tc>
          <w:tcPr>
            <w:tcW w:w="6409" w:type="dxa"/>
            <w:gridSpan w:val="5"/>
            <w:vAlign w:val="center"/>
          </w:tcPr>
          <w:p w:rsidR="009F4BC3" w:rsidRPr="003651DF" w:rsidRDefault="009F4BC3" w:rsidP="009F4BC3">
            <w:pPr>
              <w:spacing w:after="0"/>
              <w:jc w:val="center"/>
              <w:rPr>
                <w:rFonts w:asciiTheme="minorHAnsi" w:eastAsia="Times New Roman" w:hAnsiTheme="minorHAnsi" w:cstheme="minorHAnsi"/>
                <w:smallCaps/>
                <w:color w:val="000000"/>
                <w:sz w:val="18"/>
                <w:szCs w:val="20"/>
              </w:rPr>
            </w:pPr>
            <w:r w:rsidRPr="003651DF">
              <w:rPr>
                <w:rFonts w:asciiTheme="minorHAnsi" w:eastAsia="Times New Roman" w:hAnsiTheme="minorHAnsi" w:cstheme="minorHAnsi"/>
                <w:smallCaps/>
                <w:color w:val="000000"/>
                <w:sz w:val="18"/>
                <w:szCs w:val="20"/>
              </w:rPr>
              <w:t>Direct benefits</w:t>
            </w:r>
          </w:p>
        </w:tc>
        <w:tc>
          <w:tcPr>
            <w:tcW w:w="1217" w:type="dxa"/>
            <w:vAlign w:val="center"/>
          </w:tcPr>
          <w:p w:rsidR="009F4BC3" w:rsidRPr="003651DF" w:rsidRDefault="009F4BC3" w:rsidP="009F4BC3">
            <w:pPr>
              <w:spacing w:after="0"/>
              <w:jc w:val="center"/>
              <w:rPr>
                <w:rFonts w:asciiTheme="minorHAnsi" w:eastAsia="Times New Roman" w:hAnsiTheme="minorHAnsi" w:cstheme="minorHAnsi"/>
                <w:smallCaps/>
                <w:color w:val="000000"/>
                <w:sz w:val="18"/>
                <w:szCs w:val="20"/>
              </w:rPr>
            </w:pPr>
            <w:r w:rsidRPr="003651DF">
              <w:rPr>
                <w:rFonts w:asciiTheme="minorHAnsi" w:eastAsia="Times New Roman" w:hAnsiTheme="minorHAnsi" w:cstheme="minorHAnsi"/>
                <w:smallCaps/>
                <w:color w:val="000000"/>
                <w:sz w:val="18"/>
                <w:szCs w:val="20"/>
              </w:rPr>
              <w:t>Indirect (replication)</w:t>
            </w:r>
          </w:p>
        </w:tc>
      </w:tr>
      <w:tr w:rsidR="009F4BC3" w:rsidRPr="009F4BC3" w:rsidTr="003651DF">
        <w:trPr>
          <w:trHeight w:val="467"/>
        </w:trPr>
        <w:tc>
          <w:tcPr>
            <w:tcW w:w="1390" w:type="dxa"/>
            <w:vAlign w:val="center"/>
            <w:hideMark/>
          </w:tcPr>
          <w:p w:rsidR="009F4BC3" w:rsidRPr="003651DF" w:rsidRDefault="009F4BC3" w:rsidP="009F4BC3">
            <w:pPr>
              <w:spacing w:after="0"/>
              <w:jc w:val="left"/>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Technology</w:t>
            </w:r>
          </w:p>
        </w:tc>
        <w:tc>
          <w:tcPr>
            <w:tcW w:w="1152"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energy savings</w:t>
            </w:r>
          </w:p>
        </w:tc>
        <w:tc>
          <w:tcPr>
            <w:tcW w:w="1176"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p>
        </w:tc>
        <w:tc>
          <w:tcPr>
            <w:tcW w:w="1185"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monetary savings</w:t>
            </w:r>
          </w:p>
        </w:tc>
        <w:tc>
          <w:tcPr>
            <w:tcW w:w="1199" w:type="dxa"/>
            <w:vAlign w:val="center"/>
            <w:hideMark/>
          </w:tcPr>
          <w:p w:rsidR="009F4BC3" w:rsidRPr="003651DF" w:rsidRDefault="009F4BC3" w:rsidP="009F4BC3">
            <w:pPr>
              <w:spacing w:after="0"/>
              <w:jc w:val="center"/>
              <w:rPr>
                <w:rFonts w:asciiTheme="minorHAnsi" w:eastAsia="Times New Roman" w:hAnsiTheme="minorHAnsi" w:cstheme="minorHAnsi"/>
                <w:color w:val="000000"/>
                <w:sz w:val="18"/>
                <w:szCs w:val="20"/>
              </w:rPr>
            </w:pPr>
          </w:p>
        </w:tc>
        <w:tc>
          <w:tcPr>
            <w:tcW w:w="1697" w:type="dxa"/>
            <w:vAlign w:val="center"/>
            <w:hideMark/>
          </w:tcPr>
          <w:p w:rsidR="009F4BC3" w:rsidRPr="003651DF" w:rsidRDefault="009F4BC3" w:rsidP="009F4BC3">
            <w:pPr>
              <w:spacing w:after="0"/>
              <w:jc w:val="center"/>
              <w:rPr>
                <w:rFonts w:asciiTheme="minorHAnsi" w:eastAsia="Times New Roman" w:hAnsiTheme="minorHAnsi" w:cstheme="minorHAnsi"/>
                <w:color w:val="000000"/>
                <w:sz w:val="18"/>
                <w:szCs w:val="20"/>
              </w:rPr>
            </w:pPr>
          </w:p>
        </w:tc>
        <w:tc>
          <w:tcPr>
            <w:tcW w:w="1217" w:type="dxa"/>
            <w:vAlign w:val="center"/>
            <w:hideMark/>
          </w:tcPr>
          <w:p w:rsidR="009F4BC3" w:rsidRPr="003651DF" w:rsidRDefault="009F4BC3" w:rsidP="009F4BC3">
            <w:pPr>
              <w:spacing w:after="0"/>
              <w:jc w:val="center"/>
              <w:rPr>
                <w:rFonts w:asciiTheme="minorHAnsi" w:eastAsia="Times New Roman" w:hAnsiTheme="minorHAnsi" w:cstheme="minorHAnsi"/>
                <w:color w:val="000000"/>
                <w:sz w:val="18"/>
                <w:szCs w:val="20"/>
              </w:rPr>
            </w:pPr>
          </w:p>
        </w:tc>
      </w:tr>
      <w:tr w:rsidR="009F4BC3" w:rsidRPr="009F4BC3" w:rsidTr="003651DF">
        <w:tc>
          <w:tcPr>
            <w:tcW w:w="1390" w:type="dxa"/>
            <w:vAlign w:val="center"/>
          </w:tcPr>
          <w:p w:rsidR="009F4BC3" w:rsidRPr="003651DF" w:rsidRDefault="009F4BC3" w:rsidP="00DD7E6C">
            <w:pPr>
              <w:spacing w:after="0"/>
              <w:jc w:val="left"/>
              <w:rPr>
                <w:rFonts w:asciiTheme="minorHAnsi" w:eastAsia="Times New Roman" w:hAnsiTheme="minorHAnsi" w:cstheme="minorHAnsi"/>
                <w:color w:val="000000"/>
                <w:sz w:val="18"/>
                <w:szCs w:val="20"/>
              </w:rPr>
            </w:pPr>
          </w:p>
        </w:tc>
        <w:tc>
          <w:tcPr>
            <w:tcW w:w="1152"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(MJ/yr)</w:t>
            </w:r>
          </w:p>
        </w:tc>
        <w:tc>
          <w:tcPr>
            <w:tcW w:w="1176"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(MWh/y</w:t>
            </w:r>
            <w:r w:rsidR="003651DF">
              <w:rPr>
                <w:rFonts w:asciiTheme="minorHAnsi" w:eastAsia="Times New Roman" w:hAnsiTheme="minorHAnsi" w:cstheme="minorHAnsi"/>
                <w:color w:val="000000"/>
                <w:sz w:val="18"/>
                <w:szCs w:val="20"/>
              </w:rPr>
              <w:t>r</w:t>
            </w:r>
            <w:r w:rsidRPr="003651DF">
              <w:rPr>
                <w:rFonts w:asciiTheme="minorHAnsi" w:eastAsia="Times New Roman" w:hAnsiTheme="minorHAnsi" w:cstheme="minorHAnsi"/>
                <w:color w:val="000000"/>
                <w:sz w:val="18"/>
                <w:szCs w:val="20"/>
              </w:rPr>
              <w:t>)</w:t>
            </w:r>
          </w:p>
        </w:tc>
        <w:tc>
          <w:tcPr>
            <w:tcW w:w="1185"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(US$/yr)</w:t>
            </w:r>
          </w:p>
        </w:tc>
        <w:tc>
          <w:tcPr>
            <w:tcW w:w="1199"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(tCO2e/yr)</w:t>
            </w:r>
          </w:p>
        </w:tc>
        <w:tc>
          <w:tcPr>
            <w:tcW w:w="1697"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(tCO2e)</w:t>
            </w:r>
          </w:p>
        </w:tc>
        <w:tc>
          <w:tcPr>
            <w:tcW w:w="1217" w:type="dxa"/>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(tCO2e)</w:t>
            </w:r>
          </w:p>
        </w:tc>
      </w:tr>
      <w:tr w:rsidR="009F4BC3" w:rsidRPr="009F4BC3" w:rsidTr="00DD0AC4">
        <w:tc>
          <w:tcPr>
            <w:tcW w:w="1390" w:type="dxa"/>
            <w:vAlign w:val="center"/>
            <w:hideMark/>
          </w:tcPr>
          <w:p w:rsidR="009F4BC3" w:rsidRPr="003651DF" w:rsidRDefault="009F4BC3" w:rsidP="00653009">
            <w:pPr>
              <w:spacing w:after="0"/>
              <w:jc w:val="left"/>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 xml:space="preserve">1. </w:t>
            </w:r>
            <w:r w:rsidR="00653009">
              <w:rPr>
                <w:rFonts w:asciiTheme="minorHAnsi" w:eastAsia="Times New Roman" w:hAnsiTheme="minorHAnsi" w:cstheme="minorHAnsi"/>
                <w:color w:val="000000"/>
                <w:sz w:val="18"/>
                <w:szCs w:val="20"/>
              </w:rPr>
              <w:t>Mo</w:t>
            </w:r>
            <w:r w:rsidR="00937D37">
              <w:rPr>
                <w:rFonts w:asciiTheme="minorHAnsi" w:eastAsia="Times New Roman" w:hAnsiTheme="minorHAnsi" w:cstheme="minorHAnsi"/>
                <w:color w:val="000000"/>
                <w:sz w:val="18"/>
                <w:szCs w:val="20"/>
              </w:rPr>
              <w:t>b</w:t>
            </w:r>
            <w:r w:rsidR="00653009">
              <w:rPr>
                <w:rFonts w:asciiTheme="minorHAnsi" w:eastAsia="Times New Roman" w:hAnsiTheme="minorHAnsi" w:cstheme="minorHAnsi"/>
                <w:color w:val="000000"/>
                <w:sz w:val="18"/>
                <w:szCs w:val="20"/>
              </w:rPr>
              <w:t>ility</w:t>
            </w:r>
          </w:p>
        </w:tc>
        <w:tc>
          <w:tcPr>
            <w:tcW w:w="1152" w:type="dxa"/>
            <w:vAlign w:val="center"/>
          </w:tcPr>
          <w:p w:rsidR="009F4BC3" w:rsidRPr="003651DF" w:rsidRDefault="00DD0AC4" w:rsidP="00DD0AC4">
            <w:pPr>
              <w:spacing w:after="0"/>
              <w:jc w:val="center"/>
              <w:rPr>
                <w:rFonts w:asciiTheme="minorHAnsi" w:eastAsia="Times New Roman" w:hAnsiTheme="minorHAnsi" w:cstheme="minorHAnsi"/>
                <w:color w:val="000000"/>
                <w:sz w:val="18"/>
                <w:szCs w:val="20"/>
              </w:rPr>
            </w:pPr>
            <w:r w:rsidRPr="00DD0AC4">
              <w:rPr>
                <w:rFonts w:asciiTheme="minorHAnsi" w:eastAsia="Times New Roman" w:hAnsiTheme="minorHAnsi" w:cstheme="minorHAnsi"/>
                <w:color w:val="000000"/>
                <w:sz w:val="18"/>
                <w:szCs w:val="20"/>
              </w:rPr>
              <w:t>43,666,496</w:t>
            </w:r>
          </w:p>
        </w:tc>
        <w:tc>
          <w:tcPr>
            <w:tcW w:w="1176" w:type="dxa"/>
            <w:vAlign w:val="center"/>
          </w:tcPr>
          <w:p w:rsidR="00DD0AC4" w:rsidRPr="003651DF" w:rsidRDefault="00DD0AC4" w:rsidP="00DD0AC4">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12,130</w:t>
            </w:r>
          </w:p>
        </w:tc>
        <w:tc>
          <w:tcPr>
            <w:tcW w:w="1185" w:type="dxa"/>
            <w:vAlign w:val="center"/>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1,270,718</w:t>
            </w:r>
          </w:p>
        </w:tc>
        <w:tc>
          <w:tcPr>
            <w:tcW w:w="1199" w:type="dxa"/>
            <w:vAlign w:val="center"/>
            <w:hideMark/>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3,631</w:t>
            </w:r>
          </w:p>
        </w:tc>
        <w:tc>
          <w:tcPr>
            <w:tcW w:w="1697" w:type="dxa"/>
            <w:vAlign w:val="center"/>
            <w:hideMark/>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36,310</w:t>
            </w:r>
          </w:p>
        </w:tc>
        <w:tc>
          <w:tcPr>
            <w:tcW w:w="1217" w:type="dxa"/>
            <w:vAlign w:val="center"/>
            <w:hideMark/>
          </w:tcPr>
          <w:p w:rsidR="009F4BC3" w:rsidRPr="003651DF" w:rsidRDefault="00DD0AC4"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134,000</w:t>
            </w:r>
          </w:p>
        </w:tc>
      </w:tr>
      <w:tr w:rsidR="009F4BC3" w:rsidRPr="009F4BC3" w:rsidTr="00DD0AC4">
        <w:tc>
          <w:tcPr>
            <w:tcW w:w="1390" w:type="dxa"/>
            <w:vAlign w:val="center"/>
          </w:tcPr>
          <w:p w:rsidR="009F4BC3" w:rsidRPr="003651DF" w:rsidRDefault="009F4BC3" w:rsidP="00DD7E6C">
            <w:pPr>
              <w:spacing w:after="0"/>
              <w:jc w:val="left"/>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2. Public building</w:t>
            </w:r>
          </w:p>
        </w:tc>
        <w:tc>
          <w:tcPr>
            <w:tcW w:w="1152" w:type="dxa"/>
            <w:shd w:val="clear" w:color="auto" w:fill="BFBFBF" w:themeFill="background1" w:themeFillShade="BF"/>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p>
        </w:tc>
        <w:tc>
          <w:tcPr>
            <w:tcW w:w="1176" w:type="dxa"/>
            <w:vAlign w:val="center"/>
          </w:tcPr>
          <w:p w:rsidR="009F4BC3" w:rsidRPr="003651DF" w:rsidRDefault="00937D37"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2,024</w:t>
            </w:r>
          </w:p>
        </w:tc>
        <w:tc>
          <w:tcPr>
            <w:tcW w:w="1185" w:type="dxa"/>
            <w:vAlign w:val="center"/>
          </w:tcPr>
          <w:p w:rsidR="009F4BC3" w:rsidRPr="003651DF" w:rsidRDefault="00937D37"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283</w:t>
            </w:r>
            <w:r w:rsidR="003651DF">
              <w:rPr>
                <w:rFonts w:asciiTheme="minorHAnsi" w:eastAsia="Times New Roman" w:hAnsiTheme="minorHAnsi" w:cstheme="minorHAnsi"/>
                <w:color w:val="000000"/>
                <w:sz w:val="18"/>
                <w:szCs w:val="20"/>
              </w:rPr>
              <w:t>,000</w:t>
            </w:r>
          </w:p>
        </w:tc>
        <w:tc>
          <w:tcPr>
            <w:tcW w:w="1199" w:type="dxa"/>
            <w:vAlign w:val="center"/>
          </w:tcPr>
          <w:p w:rsidR="009F4BC3" w:rsidRPr="003651DF" w:rsidRDefault="006247D4" w:rsidP="006247D4">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w:t>
            </w:r>
            <w:r w:rsidR="003651DF">
              <w:rPr>
                <w:rFonts w:asciiTheme="minorHAnsi" w:eastAsia="Times New Roman" w:hAnsiTheme="minorHAnsi" w:cstheme="minorHAnsi"/>
                <w:color w:val="000000"/>
                <w:sz w:val="18"/>
                <w:szCs w:val="20"/>
              </w:rPr>
              <w:t>,</w:t>
            </w:r>
            <w:r>
              <w:rPr>
                <w:rFonts w:asciiTheme="minorHAnsi" w:eastAsia="Times New Roman" w:hAnsiTheme="minorHAnsi" w:cstheme="minorHAnsi"/>
                <w:color w:val="000000"/>
                <w:sz w:val="18"/>
                <w:szCs w:val="20"/>
              </w:rPr>
              <w:t>678</w:t>
            </w:r>
          </w:p>
        </w:tc>
        <w:tc>
          <w:tcPr>
            <w:tcW w:w="1697" w:type="dxa"/>
            <w:vAlign w:val="center"/>
          </w:tcPr>
          <w:p w:rsidR="009F4BC3" w:rsidRPr="003651DF" w:rsidRDefault="006247D4"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16,780</w:t>
            </w:r>
          </w:p>
        </w:tc>
        <w:tc>
          <w:tcPr>
            <w:tcW w:w="1217" w:type="dxa"/>
            <w:vAlign w:val="center"/>
          </w:tcPr>
          <w:p w:rsidR="009F4BC3" w:rsidRPr="003651DF" w:rsidRDefault="006247D4" w:rsidP="006247D4">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33,560</w:t>
            </w:r>
          </w:p>
        </w:tc>
      </w:tr>
      <w:tr w:rsidR="009F4BC3" w:rsidRPr="009F4BC3" w:rsidTr="00DD0AC4">
        <w:tc>
          <w:tcPr>
            <w:tcW w:w="1390" w:type="dxa"/>
            <w:vAlign w:val="center"/>
            <w:hideMark/>
          </w:tcPr>
          <w:p w:rsidR="009F4BC3" w:rsidRPr="003651DF" w:rsidRDefault="009F4BC3" w:rsidP="00DD7E6C">
            <w:pPr>
              <w:spacing w:after="0"/>
              <w:jc w:val="left"/>
              <w:rPr>
                <w:rFonts w:asciiTheme="minorHAnsi" w:eastAsia="Times New Roman" w:hAnsiTheme="minorHAnsi" w:cstheme="minorHAnsi"/>
                <w:color w:val="000000"/>
                <w:sz w:val="18"/>
                <w:szCs w:val="20"/>
              </w:rPr>
            </w:pPr>
            <w:r w:rsidRPr="003651DF">
              <w:rPr>
                <w:rFonts w:asciiTheme="minorHAnsi" w:eastAsia="Times New Roman" w:hAnsiTheme="minorHAnsi" w:cstheme="minorHAnsi"/>
                <w:color w:val="000000"/>
                <w:sz w:val="18"/>
                <w:szCs w:val="20"/>
              </w:rPr>
              <w:t>3. Public lighting</w:t>
            </w:r>
          </w:p>
        </w:tc>
        <w:tc>
          <w:tcPr>
            <w:tcW w:w="1152" w:type="dxa"/>
            <w:shd w:val="clear" w:color="auto" w:fill="BFBFBF" w:themeFill="background1" w:themeFillShade="BF"/>
            <w:vAlign w:val="center"/>
          </w:tcPr>
          <w:p w:rsidR="009F4BC3" w:rsidRPr="003651DF" w:rsidRDefault="009F4BC3" w:rsidP="009F4BC3">
            <w:pPr>
              <w:spacing w:after="0"/>
              <w:jc w:val="center"/>
              <w:rPr>
                <w:rFonts w:asciiTheme="minorHAnsi" w:eastAsia="Times New Roman" w:hAnsiTheme="minorHAnsi" w:cstheme="minorHAnsi"/>
                <w:color w:val="000000"/>
                <w:sz w:val="18"/>
                <w:szCs w:val="20"/>
              </w:rPr>
            </w:pPr>
          </w:p>
        </w:tc>
        <w:tc>
          <w:tcPr>
            <w:tcW w:w="1176" w:type="dxa"/>
            <w:vAlign w:val="center"/>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1,752</w:t>
            </w:r>
          </w:p>
        </w:tc>
        <w:tc>
          <w:tcPr>
            <w:tcW w:w="1185" w:type="dxa"/>
            <w:vAlign w:val="center"/>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350,000</w:t>
            </w:r>
          </w:p>
        </w:tc>
        <w:tc>
          <w:tcPr>
            <w:tcW w:w="1199" w:type="dxa"/>
            <w:vAlign w:val="center"/>
            <w:hideMark/>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1,369</w:t>
            </w:r>
          </w:p>
        </w:tc>
        <w:tc>
          <w:tcPr>
            <w:tcW w:w="1697" w:type="dxa"/>
            <w:vAlign w:val="center"/>
            <w:hideMark/>
          </w:tcPr>
          <w:p w:rsidR="009F4BC3" w:rsidRPr="003651DF" w:rsidRDefault="003651DF"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13,690</w:t>
            </w:r>
          </w:p>
        </w:tc>
        <w:tc>
          <w:tcPr>
            <w:tcW w:w="1217" w:type="dxa"/>
            <w:vAlign w:val="center"/>
            <w:hideMark/>
          </w:tcPr>
          <w:p w:rsidR="009F4BC3" w:rsidRPr="003651DF" w:rsidRDefault="006247D4"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27,370</w:t>
            </w:r>
          </w:p>
        </w:tc>
      </w:tr>
      <w:tr w:rsidR="009F4BC3" w:rsidRPr="009F4BC3" w:rsidTr="003651DF">
        <w:tc>
          <w:tcPr>
            <w:tcW w:w="1390" w:type="dxa"/>
            <w:vAlign w:val="center"/>
            <w:hideMark/>
          </w:tcPr>
          <w:p w:rsidR="009F4BC3" w:rsidRPr="003651DF" w:rsidRDefault="009F4BC3" w:rsidP="00DD7E6C">
            <w:pPr>
              <w:spacing w:after="0"/>
              <w:jc w:val="left"/>
              <w:rPr>
                <w:rFonts w:asciiTheme="minorHAnsi" w:eastAsia="Times New Roman" w:hAnsiTheme="minorHAnsi" w:cstheme="minorHAnsi"/>
                <w:color w:val="000000"/>
                <w:sz w:val="18"/>
                <w:szCs w:val="20"/>
              </w:rPr>
            </w:pPr>
            <w:r w:rsidRPr="003651DF">
              <w:rPr>
                <w:rFonts w:asciiTheme="minorHAnsi" w:eastAsia="Times New Roman" w:hAnsiTheme="minorHAnsi" w:cstheme="minorHAnsi"/>
                <w:bCs/>
                <w:color w:val="000000"/>
                <w:sz w:val="18"/>
                <w:szCs w:val="20"/>
              </w:rPr>
              <w:t>Total</w:t>
            </w:r>
          </w:p>
        </w:tc>
        <w:tc>
          <w:tcPr>
            <w:tcW w:w="1152" w:type="dxa"/>
            <w:vAlign w:val="center"/>
          </w:tcPr>
          <w:p w:rsidR="009F4BC3" w:rsidRPr="003651DF" w:rsidRDefault="009F4BC3" w:rsidP="009F4BC3">
            <w:pPr>
              <w:spacing w:after="0"/>
              <w:jc w:val="center"/>
              <w:rPr>
                <w:rFonts w:asciiTheme="minorHAnsi" w:eastAsia="Times New Roman" w:hAnsiTheme="minorHAnsi" w:cstheme="minorHAnsi"/>
                <w:bCs/>
                <w:color w:val="000000"/>
                <w:sz w:val="18"/>
                <w:szCs w:val="20"/>
              </w:rPr>
            </w:pPr>
          </w:p>
        </w:tc>
        <w:tc>
          <w:tcPr>
            <w:tcW w:w="1176" w:type="dxa"/>
            <w:vAlign w:val="center"/>
          </w:tcPr>
          <w:p w:rsidR="009F4BC3" w:rsidRPr="003651DF" w:rsidRDefault="00DD0AC4" w:rsidP="006247D4">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1</w:t>
            </w:r>
            <w:r w:rsidR="006247D4">
              <w:rPr>
                <w:rFonts w:asciiTheme="minorHAnsi" w:eastAsia="Times New Roman" w:hAnsiTheme="minorHAnsi" w:cstheme="minorHAnsi"/>
                <w:bCs/>
                <w:color w:val="000000"/>
                <w:sz w:val="18"/>
                <w:szCs w:val="20"/>
              </w:rPr>
              <w:t>5,906</w:t>
            </w:r>
          </w:p>
        </w:tc>
        <w:tc>
          <w:tcPr>
            <w:tcW w:w="1185" w:type="dxa"/>
            <w:vAlign w:val="center"/>
          </w:tcPr>
          <w:p w:rsidR="009F4BC3" w:rsidRPr="003651DF" w:rsidRDefault="00DD0AC4" w:rsidP="00911CD0">
            <w:pPr>
              <w:spacing w:after="0"/>
              <w:jc w:val="center"/>
              <w:rPr>
                <w:rFonts w:asciiTheme="minorHAnsi" w:eastAsia="Times New Roman" w:hAnsiTheme="minorHAnsi" w:cstheme="minorHAnsi"/>
                <w:bCs/>
                <w:color w:val="000000"/>
                <w:sz w:val="18"/>
                <w:szCs w:val="20"/>
              </w:rPr>
            </w:pPr>
            <w:r>
              <w:rPr>
                <w:rFonts w:asciiTheme="minorHAnsi" w:eastAsia="Times New Roman" w:hAnsiTheme="minorHAnsi" w:cstheme="minorHAnsi"/>
                <w:bCs/>
                <w:color w:val="000000"/>
                <w:sz w:val="18"/>
                <w:szCs w:val="20"/>
              </w:rPr>
              <w:t>1,9</w:t>
            </w:r>
            <w:r w:rsidR="00911CD0">
              <w:rPr>
                <w:rFonts w:asciiTheme="minorHAnsi" w:eastAsia="Times New Roman" w:hAnsiTheme="minorHAnsi" w:cstheme="minorHAnsi"/>
                <w:bCs/>
                <w:color w:val="000000"/>
                <w:sz w:val="18"/>
                <w:szCs w:val="20"/>
              </w:rPr>
              <w:t>04</w:t>
            </w:r>
            <w:r>
              <w:rPr>
                <w:rFonts w:asciiTheme="minorHAnsi" w:eastAsia="Times New Roman" w:hAnsiTheme="minorHAnsi" w:cstheme="minorHAnsi"/>
                <w:bCs/>
                <w:color w:val="000000"/>
                <w:sz w:val="18"/>
                <w:szCs w:val="20"/>
              </w:rPr>
              <w:t>,</w:t>
            </w:r>
            <w:r w:rsidR="00911CD0">
              <w:rPr>
                <w:rFonts w:asciiTheme="minorHAnsi" w:eastAsia="Times New Roman" w:hAnsiTheme="minorHAnsi" w:cstheme="minorHAnsi"/>
                <w:bCs/>
                <w:color w:val="000000"/>
                <w:sz w:val="18"/>
                <w:szCs w:val="20"/>
              </w:rPr>
              <w:t>405</w:t>
            </w:r>
          </w:p>
        </w:tc>
        <w:tc>
          <w:tcPr>
            <w:tcW w:w="1199" w:type="dxa"/>
            <w:vAlign w:val="center"/>
            <w:hideMark/>
          </w:tcPr>
          <w:p w:rsidR="009F4BC3" w:rsidRPr="003651DF" w:rsidRDefault="006247D4" w:rsidP="009F4BC3">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color w:val="000000"/>
                <w:sz w:val="18"/>
                <w:szCs w:val="20"/>
              </w:rPr>
              <w:t>6,678</w:t>
            </w:r>
          </w:p>
        </w:tc>
        <w:tc>
          <w:tcPr>
            <w:tcW w:w="1697" w:type="dxa"/>
            <w:vAlign w:val="center"/>
            <w:hideMark/>
          </w:tcPr>
          <w:p w:rsidR="009F4BC3" w:rsidRPr="003651DF" w:rsidRDefault="006247D4" w:rsidP="00DD0AC4">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bCs/>
                <w:color w:val="000000"/>
                <w:sz w:val="18"/>
                <w:szCs w:val="20"/>
              </w:rPr>
              <w:t>66,780</w:t>
            </w:r>
          </w:p>
        </w:tc>
        <w:tc>
          <w:tcPr>
            <w:tcW w:w="1217" w:type="dxa"/>
            <w:vAlign w:val="center"/>
            <w:hideMark/>
          </w:tcPr>
          <w:p w:rsidR="009F4BC3" w:rsidRPr="003651DF" w:rsidRDefault="00DD0AC4" w:rsidP="006247D4">
            <w:pPr>
              <w:spacing w:after="0"/>
              <w:jc w:val="center"/>
              <w:rPr>
                <w:rFonts w:asciiTheme="minorHAnsi" w:eastAsia="Times New Roman" w:hAnsiTheme="minorHAnsi" w:cstheme="minorHAnsi"/>
                <w:color w:val="000000"/>
                <w:sz w:val="18"/>
                <w:szCs w:val="20"/>
              </w:rPr>
            </w:pPr>
            <w:r>
              <w:rPr>
                <w:rFonts w:asciiTheme="minorHAnsi" w:eastAsia="Times New Roman" w:hAnsiTheme="minorHAnsi" w:cstheme="minorHAnsi"/>
                <w:bCs/>
                <w:color w:val="000000"/>
                <w:sz w:val="18"/>
                <w:szCs w:val="20"/>
              </w:rPr>
              <w:t>1</w:t>
            </w:r>
            <w:r w:rsidR="006247D4">
              <w:rPr>
                <w:rFonts w:asciiTheme="minorHAnsi" w:eastAsia="Times New Roman" w:hAnsiTheme="minorHAnsi" w:cstheme="minorHAnsi"/>
                <w:bCs/>
                <w:color w:val="000000"/>
                <w:sz w:val="18"/>
                <w:szCs w:val="20"/>
              </w:rPr>
              <w:t>94,930</w:t>
            </w:r>
          </w:p>
        </w:tc>
      </w:tr>
    </w:tbl>
    <w:p w:rsidR="002F522A" w:rsidRDefault="002F522A" w:rsidP="00A92904">
      <w:pPr>
        <w:spacing w:after="160" w:line="259" w:lineRule="auto"/>
        <w:jc w:val="left"/>
        <w:rPr>
          <w:szCs w:val="22"/>
        </w:rPr>
      </w:pPr>
    </w:p>
    <w:p w:rsidR="006756D9" w:rsidRDefault="006756D9" w:rsidP="00A92904">
      <w:pPr>
        <w:spacing w:after="160" w:line="259" w:lineRule="auto"/>
        <w:jc w:val="left"/>
        <w:rPr>
          <w:szCs w:val="22"/>
        </w:rPr>
      </w:pPr>
      <w:r>
        <w:rPr>
          <w:szCs w:val="22"/>
        </w:rPr>
        <w:t>For EE in public buildings and public lighting, a replication factor of 2.0 is assumed for investment post-project through the FIDEnergetica trust fund.</w:t>
      </w:r>
    </w:p>
    <w:sectPr w:rsidR="006756D9" w:rsidSect="005A1AA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0B6C" w:rsidRDefault="00500B6C" w:rsidP="00E540C6">
      <w:pPr>
        <w:spacing w:after="0"/>
      </w:pPr>
      <w:r>
        <w:separator/>
      </w:r>
    </w:p>
  </w:endnote>
  <w:endnote w:type="continuationSeparator" w:id="0">
    <w:p w:rsidR="00500B6C" w:rsidRDefault="00500B6C" w:rsidP="00E540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8589969"/>
      <w:docPartObj>
        <w:docPartGallery w:val="Page Numbers (Bottom of Page)"/>
        <w:docPartUnique/>
      </w:docPartObj>
    </w:sdtPr>
    <w:sdtEndPr>
      <w:rPr>
        <w:noProof/>
      </w:rPr>
    </w:sdtEndPr>
    <w:sdtContent>
      <w:p w:rsidR="003742F9" w:rsidRDefault="003742F9">
        <w:pPr>
          <w:pStyle w:val="Footer"/>
          <w:jc w:val="center"/>
        </w:pPr>
        <w:r>
          <w:fldChar w:fldCharType="begin"/>
        </w:r>
        <w:r>
          <w:instrText xml:space="preserve"> PAGE   \* MERGEFORMAT </w:instrText>
        </w:r>
        <w:r>
          <w:fldChar w:fldCharType="separate"/>
        </w:r>
        <w:r>
          <w:rPr>
            <w:noProof/>
          </w:rPr>
          <w:t>9</w:t>
        </w:r>
        <w:r>
          <w:rPr>
            <w:noProof/>
          </w:rPr>
          <w:fldChar w:fldCharType="end"/>
        </w:r>
      </w:p>
    </w:sdtContent>
  </w:sdt>
  <w:p w:rsidR="003742F9" w:rsidRDefault="003742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0B6C" w:rsidRDefault="00500B6C" w:rsidP="00E540C6">
      <w:pPr>
        <w:spacing w:after="0"/>
      </w:pPr>
      <w:r>
        <w:separator/>
      </w:r>
    </w:p>
  </w:footnote>
  <w:footnote w:type="continuationSeparator" w:id="0">
    <w:p w:rsidR="00500B6C" w:rsidRDefault="00500B6C" w:rsidP="00E540C6">
      <w:pPr>
        <w:spacing w:after="0"/>
      </w:pPr>
      <w:r>
        <w:continuationSeparator/>
      </w:r>
    </w:p>
  </w:footnote>
  <w:footnote w:id="1">
    <w:p w:rsidR="00AF1892" w:rsidRPr="00CF1877" w:rsidRDefault="00AF1892">
      <w:pPr>
        <w:pStyle w:val="FootnoteText"/>
        <w:rPr>
          <w:lang w:val="es-MX"/>
        </w:rPr>
      </w:pPr>
      <w:r>
        <w:rPr>
          <w:rStyle w:val="FootnoteReference"/>
        </w:rPr>
        <w:footnoteRef/>
      </w:r>
      <w:r>
        <w:t xml:space="preserve"> </w:t>
      </w:r>
      <w:r>
        <w:rPr>
          <w:lang w:val="es-MX"/>
        </w:rPr>
        <w:t>Informe Final “Estimación Preliminar acerca del Potencial de Reducción de Emisiones de Gases de Efecto Invernadero y otros Contaminante Atmosféricos” by BioSistemas SA de CV, Juan Pablo Domínguez Miranda e.a, 5 January 2015.</w:t>
      </w:r>
    </w:p>
  </w:footnote>
  <w:footnote w:id="2">
    <w:p w:rsidR="00AF1892" w:rsidRPr="002A1CE2" w:rsidRDefault="00AF1892" w:rsidP="00C029CB">
      <w:pPr>
        <w:pStyle w:val="FootnoteText"/>
        <w:rPr>
          <w:lang w:val="es-MX"/>
        </w:rPr>
      </w:pPr>
      <w:r>
        <w:rPr>
          <w:rStyle w:val="FootnoteReference"/>
        </w:rPr>
        <w:footnoteRef/>
      </w:r>
      <w:r>
        <w:t xml:space="preserve"> Estudio para la </w:t>
      </w:r>
      <w:r>
        <w:rPr>
          <w:lang w:val="es-MX"/>
        </w:rPr>
        <w:t>Estructuración e Ingeniería Básica del SITRAMSS (Consorcio Acciona Ingeniería, et al., 2012 and its annexes.</w:t>
      </w:r>
    </w:p>
  </w:footnote>
  <w:footnote w:id="3">
    <w:p w:rsidR="00AF1892" w:rsidRDefault="00AF1892">
      <w:pPr>
        <w:pStyle w:val="FootnoteText"/>
      </w:pPr>
      <w:r>
        <w:rPr>
          <w:rStyle w:val="FootnoteReference"/>
        </w:rPr>
        <w:footnoteRef/>
      </w:r>
      <w:r>
        <w:t xml:space="preserve"> Determined according to table “Fuel Consumption 2014”.</w:t>
      </w:r>
    </w:p>
  </w:footnote>
  <w:footnote w:id="4">
    <w:p w:rsidR="00AF1892" w:rsidRDefault="00AF1892" w:rsidP="00A710B1">
      <w:pPr>
        <w:pStyle w:val="FootnoteText"/>
      </w:pPr>
      <w:r>
        <w:rPr>
          <w:rStyle w:val="FootnoteReference"/>
        </w:rPr>
        <w:footnoteRef/>
      </w:r>
      <w:r>
        <w:t xml:space="preserve"> Informe BioSistemas SA de CV, p.44-45.</w:t>
      </w:r>
    </w:p>
  </w:footnote>
  <w:footnote w:id="5">
    <w:p w:rsidR="00AF1892" w:rsidRDefault="00AF1892">
      <w:pPr>
        <w:pStyle w:val="FootnoteText"/>
      </w:pPr>
      <w:r>
        <w:rPr>
          <w:rStyle w:val="FootnoteReference"/>
        </w:rPr>
        <w:footnoteRef/>
      </w:r>
      <w:r>
        <w:t xml:space="preserve"> </w:t>
      </w:r>
      <w:r w:rsidRPr="00197682">
        <w:t>NAMA en el uso final de la energía del sector gubernamental – Estudio sobre los sub-sectores de alumbrado público, edificios públicos y transporte nacional, project UNDP/CNE/00075672, Alberto Galante Marcos, Luca Lo Re, e.a. Perspectives GmbH, Hamburg Germany, April 2014.</w:t>
      </w:r>
    </w:p>
  </w:footnote>
  <w:footnote w:id="6">
    <w:p w:rsidR="00AF1892" w:rsidRDefault="00AF1892">
      <w:pPr>
        <w:pStyle w:val="FootnoteText"/>
      </w:pPr>
      <w:r>
        <w:rPr>
          <w:rStyle w:val="FootnoteReference"/>
        </w:rPr>
        <w:footnoteRef/>
      </w:r>
      <w:r>
        <w:t xml:space="preserve"> Adapted from: </w:t>
      </w:r>
      <w:r w:rsidRPr="00FC651A">
        <w:t>P</w:t>
      </w:r>
      <w:r>
        <w:t>erspectives GmbH, Table 11, p.31</w:t>
      </w:r>
      <w:r w:rsidRPr="00FC651A">
        <w:t>.</w:t>
      </w:r>
    </w:p>
  </w:footnote>
  <w:footnote w:id="7">
    <w:p w:rsidR="00AF1892" w:rsidRDefault="00AF1892">
      <w:pPr>
        <w:pStyle w:val="FootnoteText"/>
      </w:pPr>
      <w:r>
        <w:rPr>
          <w:rStyle w:val="FootnoteReference"/>
        </w:rPr>
        <w:footnoteRef/>
      </w:r>
      <w:r>
        <w:t xml:space="preserve"> Adapted from: </w:t>
      </w:r>
      <w:r w:rsidRPr="009710EC">
        <w:t>Perspectives GmbH, Table 10, p.30</w:t>
      </w:r>
      <w:r>
        <w:t>.</w:t>
      </w:r>
    </w:p>
  </w:footnote>
  <w:footnote w:id="8">
    <w:p w:rsidR="00AF1892" w:rsidRDefault="00AF1892" w:rsidP="000C73FC">
      <w:pPr>
        <w:pStyle w:val="FootnoteText"/>
      </w:pPr>
      <w:r>
        <w:rPr>
          <w:rStyle w:val="FootnoteReference"/>
        </w:rPr>
        <w:footnoteRef/>
      </w:r>
      <w:r>
        <w:t xml:space="preserve"> Adapted from: </w:t>
      </w:r>
      <w:r w:rsidRPr="009710EC">
        <w:t>Perspectives GmbH</w:t>
      </w:r>
      <w:r>
        <w:t>, Table 35</w:t>
      </w:r>
      <w:r w:rsidRPr="004D20E1">
        <w:t>, p.5</w:t>
      </w:r>
      <w:r>
        <w:t>7 (scenario 2).</w:t>
      </w:r>
    </w:p>
  </w:footnote>
  <w:footnote w:id="9">
    <w:p w:rsidR="00AF1892" w:rsidRDefault="00AF1892">
      <w:pPr>
        <w:pStyle w:val="FootnoteText"/>
      </w:pPr>
      <w:r>
        <w:rPr>
          <w:rStyle w:val="FootnoteReference"/>
        </w:rPr>
        <w:footnoteRef/>
      </w:r>
      <w:r>
        <w:t xml:space="preserve"> </w:t>
      </w:r>
      <w:r w:rsidRPr="00B33877">
        <w:t>Adapted f</w:t>
      </w:r>
      <w:r>
        <w:t>rom: Perspectives GmbH, Table 4, p.22</w:t>
      </w:r>
      <w:r w:rsidRPr="00B33877">
        <w:t>.</w:t>
      </w:r>
    </w:p>
  </w:footnote>
  <w:footnote w:id="10">
    <w:p w:rsidR="00AF1892" w:rsidRDefault="00AF1892" w:rsidP="00591CEC">
      <w:pPr>
        <w:pStyle w:val="FootnoteText"/>
      </w:pPr>
      <w:r>
        <w:rPr>
          <w:rStyle w:val="FootnoteReference"/>
        </w:rPr>
        <w:footnoteRef/>
      </w:r>
      <w:r>
        <w:t xml:space="preserve"> Adapted from: </w:t>
      </w:r>
      <w:r w:rsidRPr="009710EC">
        <w:t>Perspectives GmbH</w:t>
      </w:r>
      <w:r>
        <w:t>, T</w:t>
      </w:r>
      <w:r w:rsidRPr="004D20E1">
        <w:t>able 31, p.51</w:t>
      </w:r>
      <w:r>
        <w:t xml:space="preserve"> (scenario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0F4352"/>
    <w:multiLevelType w:val="hybridMultilevel"/>
    <w:tmpl w:val="A6FA6C42"/>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5B6A2A"/>
    <w:multiLevelType w:val="hybridMultilevel"/>
    <w:tmpl w:val="5002C5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B811F0"/>
    <w:multiLevelType w:val="hybridMultilevel"/>
    <w:tmpl w:val="A768F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6533DD"/>
    <w:multiLevelType w:val="hybridMultilevel"/>
    <w:tmpl w:val="E4B80694"/>
    <w:lvl w:ilvl="0" w:tplc="45DEDF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0D49FD"/>
    <w:multiLevelType w:val="hybridMultilevel"/>
    <w:tmpl w:val="670A4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AE33F1"/>
    <w:multiLevelType w:val="hybridMultilevel"/>
    <w:tmpl w:val="9FDC681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D4D6945"/>
    <w:multiLevelType w:val="hybridMultilevel"/>
    <w:tmpl w:val="A934C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130C81"/>
    <w:multiLevelType w:val="hybridMultilevel"/>
    <w:tmpl w:val="A4469B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6"/>
  </w:num>
  <w:num w:numId="5">
    <w:abstractNumId w:val="0"/>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0B9"/>
    <w:rsid w:val="000104C4"/>
    <w:rsid w:val="000229E3"/>
    <w:rsid w:val="0002430F"/>
    <w:rsid w:val="00040013"/>
    <w:rsid w:val="00063FAB"/>
    <w:rsid w:val="00066EFD"/>
    <w:rsid w:val="0006776E"/>
    <w:rsid w:val="00073A28"/>
    <w:rsid w:val="00081F3D"/>
    <w:rsid w:val="0008599A"/>
    <w:rsid w:val="000955FD"/>
    <w:rsid w:val="000B009B"/>
    <w:rsid w:val="000C73FC"/>
    <w:rsid w:val="000E3236"/>
    <w:rsid w:val="000E4E49"/>
    <w:rsid w:val="000F25D8"/>
    <w:rsid w:val="000F7BBB"/>
    <w:rsid w:val="00121E88"/>
    <w:rsid w:val="0012459F"/>
    <w:rsid w:val="00125803"/>
    <w:rsid w:val="00125E4C"/>
    <w:rsid w:val="00134EB3"/>
    <w:rsid w:val="00184C5F"/>
    <w:rsid w:val="001851AA"/>
    <w:rsid w:val="00197682"/>
    <w:rsid w:val="001976C0"/>
    <w:rsid w:val="001B122A"/>
    <w:rsid w:val="001D342E"/>
    <w:rsid w:val="001E58BF"/>
    <w:rsid w:val="00201C7A"/>
    <w:rsid w:val="002213DF"/>
    <w:rsid w:val="00223758"/>
    <w:rsid w:val="00227EC4"/>
    <w:rsid w:val="00237720"/>
    <w:rsid w:val="00250C18"/>
    <w:rsid w:val="0026107B"/>
    <w:rsid w:val="00264CD9"/>
    <w:rsid w:val="0027447D"/>
    <w:rsid w:val="002762E4"/>
    <w:rsid w:val="00291524"/>
    <w:rsid w:val="002926AC"/>
    <w:rsid w:val="0029320E"/>
    <w:rsid w:val="00295A94"/>
    <w:rsid w:val="002A1CE2"/>
    <w:rsid w:val="002B0EEA"/>
    <w:rsid w:val="002D6D80"/>
    <w:rsid w:val="002F2B4A"/>
    <w:rsid w:val="002F522A"/>
    <w:rsid w:val="00321F28"/>
    <w:rsid w:val="003241EB"/>
    <w:rsid w:val="0032648F"/>
    <w:rsid w:val="003540C0"/>
    <w:rsid w:val="0035611F"/>
    <w:rsid w:val="003651DF"/>
    <w:rsid w:val="00365F5F"/>
    <w:rsid w:val="0036625E"/>
    <w:rsid w:val="003672EF"/>
    <w:rsid w:val="003742F9"/>
    <w:rsid w:val="003820C8"/>
    <w:rsid w:val="00382A29"/>
    <w:rsid w:val="00392EAF"/>
    <w:rsid w:val="00397620"/>
    <w:rsid w:val="003D06E6"/>
    <w:rsid w:val="003F03A1"/>
    <w:rsid w:val="00404E4B"/>
    <w:rsid w:val="00433C1D"/>
    <w:rsid w:val="00445D35"/>
    <w:rsid w:val="004966A9"/>
    <w:rsid w:val="004B0B74"/>
    <w:rsid w:val="004C2330"/>
    <w:rsid w:val="004D20E1"/>
    <w:rsid w:val="004D43F2"/>
    <w:rsid w:val="004D7B30"/>
    <w:rsid w:val="004E7E40"/>
    <w:rsid w:val="004F3D64"/>
    <w:rsid w:val="004F5A01"/>
    <w:rsid w:val="00500B6C"/>
    <w:rsid w:val="005071B8"/>
    <w:rsid w:val="00556D6C"/>
    <w:rsid w:val="00561C30"/>
    <w:rsid w:val="0057267A"/>
    <w:rsid w:val="00575C40"/>
    <w:rsid w:val="0059112C"/>
    <w:rsid w:val="00591CEC"/>
    <w:rsid w:val="005A1AA2"/>
    <w:rsid w:val="005B44A0"/>
    <w:rsid w:val="005C092A"/>
    <w:rsid w:val="005D0182"/>
    <w:rsid w:val="005D1C6F"/>
    <w:rsid w:val="005E4CD0"/>
    <w:rsid w:val="005E7AD5"/>
    <w:rsid w:val="006003E6"/>
    <w:rsid w:val="00603BDA"/>
    <w:rsid w:val="006247D4"/>
    <w:rsid w:val="00653009"/>
    <w:rsid w:val="00661F04"/>
    <w:rsid w:val="006756D9"/>
    <w:rsid w:val="006B2F4A"/>
    <w:rsid w:val="006B3914"/>
    <w:rsid w:val="006C2E22"/>
    <w:rsid w:val="006C5094"/>
    <w:rsid w:val="006F6A44"/>
    <w:rsid w:val="006F6CE1"/>
    <w:rsid w:val="00702E66"/>
    <w:rsid w:val="007636A0"/>
    <w:rsid w:val="00765062"/>
    <w:rsid w:val="007729B7"/>
    <w:rsid w:val="0077679B"/>
    <w:rsid w:val="00782B98"/>
    <w:rsid w:val="00787BDB"/>
    <w:rsid w:val="00790711"/>
    <w:rsid w:val="007A24C9"/>
    <w:rsid w:val="007F177D"/>
    <w:rsid w:val="0080147A"/>
    <w:rsid w:val="008076F5"/>
    <w:rsid w:val="00812D46"/>
    <w:rsid w:val="008137DA"/>
    <w:rsid w:val="00813C5C"/>
    <w:rsid w:val="00816D45"/>
    <w:rsid w:val="00823A79"/>
    <w:rsid w:val="0084098B"/>
    <w:rsid w:val="00896D11"/>
    <w:rsid w:val="008A472A"/>
    <w:rsid w:val="008A4C07"/>
    <w:rsid w:val="008A4DAC"/>
    <w:rsid w:val="008B1127"/>
    <w:rsid w:val="008C2F56"/>
    <w:rsid w:val="008D34BF"/>
    <w:rsid w:val="00911CD0"/>
    <w:rsid w:val="00932D46"/>
    <w:rsid w:val="00937D37"/>
    <w:rsid w:val="00956072"/>
    <w:rsid w:val="009653AD"/>
    <w:rsid w:val="009710EC"/>
    <w:rsid w:val="0098021E"/>
    <w:rsid w:val="009821EA"/>
    <w:rsid w:val="009A5AB9"/>
    <w:rsid w:val="009A6E12"/>
    <w:rsid w:val="009C029B"/>
    <w:rsid w:val="009C06D7"/>
    <w:rsid w:val="009C2DB2"/>
    <w:rsid w:val="009C49A6"/>
    <w:rsid w:val="009D170B"/>
    <w:rsid w:val="009D6CA7"/>
    <w:rsid w:val="009E141C"/>
    <w:rsid w:val="009F4BC3"/>
    <w:rsid w:val="009F55C1"/>
    <w:rsid w:val="00A00E94"/>
    <w:rsid w:val="00A04B59"/>
    <w:rsid w:val="00A103C6"/>
    <w:rsid w:val="00A30D52"/>
    <w:rsid w:val="00A430A9"/>
    <w:rsid w:val="00A5188D"/>
    <w:rsid w:val="00A710B1"/>
    <w:rsid w:val="00A92904"/>
    <w:rsid w:val="00AA14F5"/>
    <w:rsid w:val="00AD7FE1"/>
    <w:rsid w:val="00AE4B81"/>
    <w:rsid w:val="00AF1892"/>
    <w:rsid w:val="00B02B2F"/>
    <w:rsid w:val="00B03B4A"/>
    <w:rsid w:val="00B33877"/>
    <w:rsid w:val="00B34C3B"/>
    <w:rsid w:val="00B44465"/>
    <w:rsid w:val="00B45E1C"/>
    <w:rsid w:val="00B617B6"/>
    <w:rsid w:val="00B663DA"/>
    <w:rsid w:val="00B748D3"/>
    <w:rsid w:val="00B8510A"/>
    <w:rsid w:val="00B90C6D"/>
    <w:rsid w:val="00B9408C"/>
    <w:rsid w:val="00BB5402"/>
    <w:rsid w:val="00BD4F88"/>
    <w:rsid w:val="00C004AB"/>
    <w:rsid w:val="00C029CB"/>
    <w:rsid w:val="00C2196D"/>
    <w:rsid w:val="00C30D12"/>
    <w:rsid w:val="00C37814"/>
    <w:rsid w:val="00C42D3C"/>
    <w:rsid w:val="00C57AA5"/>
    <w:rsid w:val="00C6263F"/>
    <w:rsid w:val="00C67223"/>
    <w:rsid w:val="00C70C38"/>
    <w:rsid w:val="00CA052D"/>
    <w:rsid w:val="00CA054A"/>
    <w:rsid w:val="00CB5CAB"/>
    <w:rsid w:val="00CE10B9"/>
    <w:rsid w:val="00CF1877"/>
    <w:rsid w:val="00CF2271"/>
    <w:rsid w:val="00CF5F1F"/>
    <w:rsid w:val="00D02C26"/>
    <w:rsid w:val="00D15EB0"/>
    <w:rsid w:val="00D246B4"/>
    <w:rsid w:val="00D3397A"/>
    <w:rsid w:val="00D37451"/>
    <w:rsid w:val="00D50315"/>
    <w:rsid w:val="00D82653"/>
    <w:rsid w:val="00D83D0C"/>
    <w:rsid w:val="00D86133"/>
    <w:rsid w:val="00D94826"/>
    <w:rsid w:val="00D9553A"/>
    <w:rsid w:val="00DA2BBD"/>
    <w:rsid w:val="00DA3F1D"/>
    <w:rsid w:val="00DC282B"/>
    <w:rsid w:val="00DC4464"/>
    <w:rsid w:val="00DD0AC4"/>
    <w:rsid w:val="00DD7E6C"/>
    <w:rsid w:val="00DE4174"/>
    <w:rsid w:val="00DE7AE7"/>
    <w:rsid w:val="00DF1B3A"/>
    <w:rsid w:val="00DF7013"/>
    <w:rsid w:val="00DF7B50"/>
    <w:rsid w:val="00E160FB"/>
    <w:rsid w:val="00E540C6"/>
    <w:rsid w:val="00E55B99"/>
    <w:rsid w:val="00E7188E"/>
    <w:rsid w:val="00E7258D"/>
    <w:rsid w:val="00E92DF9"/>
    <w:rsid w:val="00E95EC3"/>
    <w:rsid w:val="00EC7226"/>
    <w:rsid w:val="00EC7B15"/>
    <w:rsid w:val="00ED5636"/>
    <w:rsid w:val="00ED7B2B"/>
    <w:rsid w:val="00EE3484"/>
    <w:rsid w:val="00EF0BF0"/>
    <w:rsid w:val="00EF2083"/>
    <w:rsid w:val="00F00671"/>
    <w:rsid w:val="00F1639A"/>
    <w:rsid w:val="00F2734E"/>
    <w:rsid w:val="00F52C7D"/>
    <w:rsid w:val="00F546C3"/>
    <w:rsid w:val="00F80A41"/>
    <w:rsid w:val="00F84BC5"/>
    <w:rsid w:val="00F860D5"/>
    <w:rsid w:val="00F92C7B"/>
    <w:rsid w:val="00F95B61"/>
    <w:rsid w:val="00FA3DE2"/>
    <w:rsid w:val="00FC651A"/>
    <w:rsid w:val="00FD5AE6"/>
    <w:rsid w:val="00FF63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8353AE-58D3-4A71-93F2-04E2C27A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177D"/>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DE7AE7"/>
    <w:pPr>
      <w:keepNext/>
      <w:ind w:left="720"/>
      <w:outlineLvl w:val="1"/>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DE7AE7"/>
    <w:rPr>
      <w:rFonts w:asciiTheme="majorHAnsi" w:eastAsiaTheme="majorEastAsia" w:hAnsiTheme="majorHAnsi" w:cstheme="majorBidi"/>
      <w:color w:val="2E74B5" w:themeColor="accent1" w:themeShade="BF"/>
      <w:sz w:val="26"/>
      <w:szCs w:val="26"/>
      <w:lang w:val="en-US"/>
    </w:rPr>
  </w:style>
  <w:style w:type="character" w:customStyle="1" w:styleId="Heading2Char1">
    <w:name w:val="Heading 2 Char1"/>
    <w:link w:val="Heading2"/>
    <w:locked/>
    <w:rsid w:val="00DE7AE7"/>
    <w:rPr>
      <w:rFonts w:ascii="Arial Narrow" w:eastAsia="SimSun" w:hAnsi="Arial Narrow" w:cs="Times New Roman"/>
      <w:b/>
      <w:bCs/>
      <w:szCs w:val="24"/>
      <w:lang w:val="en-US"/>
    </w:rPr>
  </w:style>
  <w:style w:type="paragraph" w:styleId="Header">
    <w:name w:val="header"/>
    <w:basedOn w:val="Normal"/>
    <w:link w:val="HeaderChar"/>
    <w:uiPriority w:val="99"/>
    <w:unhideWhenUsed/>
    <w:rsid w:val="00E540C6"/>
    <w:pPr>
      <w:tabs>
        <w:tab w:val="center" w:pos="4513"/>
        <w:tab w:val="right" w:pos="9026"/>
      </w:tabs>
      <w:spacing w:after="0"/>
    </w:pPr>
  </w:style>
  <w:style w:type="character" w:customStyle="1" w:styleId="HeaderChar">
    <w:name w:val="Header Char"/>
    <w:basedOn w:val="DefaultParagraphFont"/>
    <w:link w:val="Header"/>
    <w:uiPriority w:val="99"/>
    <w:rsid w:val="00E540C6"/>
    <w:rPr>
      <w:rFonts w:ascii="Calibri" w:eastAsia="SimSun" w:hAnsi="Calibri" w:cs="Times New Roman"/>
      <w:sz w:val="20"/>
      <w:szCs w:val="24"/>
      <w:lang w:val="en-US"/>
    </w:rPr>
  </w:style>
  <w:style w:type="paragraph" w:styleId="Footer">
    <w:name w:val="footer"/>
    <w:basedOn w:val="Normal"/>
    <w:link w:val="FooterChar"/>
    <w:uiPriority w:val="99"/>
    <w:unhideWhenUsed/>
    <w:rsid w:val="00E540C6"/>
    <w:pPr>
      <w:tabs>
        <w:tab w:val="center" w:pos="4513"/>
        <w:tab w:val="right" w:pos="9026"/>
      </w:tabs>
      <w:spacing w:after="0"/>
    </w:pPr>
  </w:style>
  <w:style w:type="character" w:customStyle="1" w:styleId="FooterChar">
    <w:name w:val="Footer Char"/>
    <w:basedOn w:val="DefaultParagraphFont"/>
    <w:link w:val="Footer"/>
    <w:uiPriority w:val="99"/>
    <w:rsid w:val="00E540C6"/>
    <w:rPr>
      <w:rFonts w:ascii="Calibri" w:eastAsia="SimSun" w:hAnsi="Calibri" w:cs="Times New Roman"/>
      <w:sz w:val="20"/>
      <w:szCs w:val="24"/>
      <w:lang w:val="en-US"/>
    </w:rPr>
  </w:style>
  <w:style w:type="paragraph" w:styleId="BalloonText">
    <w:name w:val="Balloon Text"/>
    <w:basedOn w:val="Normal"/>
    <w:link w:val="BalloonTextChar"/>
    <w:uiPriority w:val="99"/>
    <w:semiHidden/>
    <w:unhideWhenUsed/>
    <w:rsid w:val="00C2196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196D"/>
    <w:rPr>
      <w:rFonts w:ascii="Segoe UI" w:eastAsia="SimSun" w:hAnsi="Segoe UI" w:cs="Segoe UI"/>
      <w:sz w:val="18"/>
      <w:szCs w:val="18"/>
      <w:lang w:val="en-US"/>
    </w:rPr>
  </w:style>
  <w:style w:type="table" w:styleId="TableGrid">
    <w:name w:val="Table Grid"/>
    <w:basedOn w:val="TableNormal"/>
    <w:uiPriority w:val="39"/>
    <w:rsid w:val="005A1AA2"/>
    <w:pPr>
      <w:spacing w:after="0" w:line="240" w:lineRule="auto"/>
    </w:pPr>
    <w:rPr>
      <w:rFonts w:ascii="Calibri" w:eastAsia="SimSun"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1AA2"/>
    <w:pPr>
      <w:ind w:left="720"/>
      <w:contextualSpacing/>
    </w:pPr>
  </w:style>
  <w:style w:type="paragraph" w:styleId="FootnoteText">
    <w:name w:val="footnote text"/>
    <w:basedOn w:val="Normal"/>
    <w:link w:val="FootnoteTextChar"/>
    <w:uiPriority w:val="99"/>
    <w:semiHidden/>
    <w:unhideWhenUsed/>
    <w:rsid w:val="00787BDB"/>
    <w:pPr>
      <w:spacing w:after="0"/>
    </w:pPr>
    <w:rPr>
      <w:szCs w:val="20"/>
    </w:rPr>
  </w:style>
  <w:style w:type="character" w:customStyle="1" w:styleId="FootnoteTextChar">
    <w:name w:val="Footnote Text Char"/>
    <w:basedOn w:val="DefaultParagraphFont"/>
    <w:link w:val="FootnoteText"/>
    <w:uiPriority w:val="99"/>
    <w:semiHidden/>
    <w:rsid w:val="00787BDB"/>
    <w:rPr>
      <w:rFonts w:ascii="Calibri" w:eastAsia="SimSun" w:hAnsi="Calibri" w:cs="Times New Roman"/>
      <w:sz w:val="20"/>
      <w:szCs w:val="20"/>
      <w:lang w:val="en-US"/>
    </w:rPr>
  </w:style>
  <w:style w:type="character" w:styleId="FootnoteReference">
    <w:name w:val="footnote reference"/>
    <w:basedOn w:val="DefaultParagraphFont"/>
    <w:uiPriority w:val="99"/>
    <w:semiHidden/>
    <w:unhideWhenUsed/>
    <w:rsid w:val="00787BD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97760">
      <w:bodyDiv w:val="1"/>
      <w:marLeft w:val="0"/>
      <w:marRight w:val="0"/>
      <w:marTop w:val="0"/>
      <w:marBottom w:val="0"/>
      <w:divBdr>
        <w:top w:val="none" w:sz="0" w:space="0" w:color="auto"/>
        <w:left w:val="none" w:sz="0" w:space="0" w:color="auto"/>
        <w:bottom w:val="none" w:sz="0" w:space="0" w:color="auto"/>
        <w:right w:val="none" w:sz="0" w:space="0" w:color="auto"/>
      </w:divBdr>
    </w:div>
    <w:div w:id="266349391">
      <w:bodyDiv w:val="1"/>
      <w:marLeft w:val="0"/>
      <w:marRight w:val="0"/>
      <w:marTop w:val="0"/>
      <w:marBottom w:val="0"/>
      <w:divBdr>
        <w:top w:val="none" w:sz="0" w:space="0" w:color="auto"/>
        <w:left w:val="none" w:sz="0" w:space="0" w:color="auto"/>
        <w:bottom w:val="none" w:sz="0" w:space="0" w:color="auto"/>
        <w:right w:val="none" w:sz="0" w:space="0" w:color="auto"/>
      </w:divBdr>
    </w:div>
    <w:div w:id="403651120">
      <w:bodyDiv w:val="1"/>
      <w:marLeft w:val="0"/>
      <w:marRight w:val="0"/>
      <w:marTop w:val="0"/>
      <w:marBottom w:val="0"/>
      <w:divBdr>
        <w:top w:val="none" w:sz="0" w:space="0" w:color="auto"/>
        <w:left w:val="none" w:sz="0" w:space="0" w:color="auto"/>
        <w:bottom w:val="none" w:sz="0" w:space="0" w:color="auto"/>
        <w:right w:val="none" w:sz="0" w:space="0" w:color="auto"/>
      </w:divBdr>
    </w:div>
    <w:div w:id="739255515">
      <w:bodyDiv w:val="1"/>
      <w:marLeft w:val="0"/>
      <w:marRight w:val="0"/>
      <w:marTop w:val="0"/>
      <w:marBottom w:val="0"/>
      <w:divBdr>
        <w:top w:val="none" w:sz="0" w:space="0" w:color="auto"/>
        <w:left w:val="none" w:sz="0" w:space="0" w:color="auto"/>
        <w:bottom w:val="none" w:sz="0" w:space="0" w:color="auto"/>
        <w:right w:val="none" w:sz="0" w:space="0" w:color="auto"/>
      </w:divBdr>
    </w:div>
    <w:div w:id="760102452">
      <w:bodyDiv w:val="1"/>
      <w:marLeft w:val="0"/>
      <w:marRight w:val="0"/>
      <w:marTop w:val="0"/>
      <w:marBottom w:val="0"/>
      <w:divBdr>
        <w:top w:val="none" w:sz="0" w:space="0" w:color="auto"/>
        <w:left w:val="none" w:sz="0" w:space="0" w:color="auto"/>
        <w:bottom w:val="none" w:sz="0" w:space="0" w:color="auto"/>
        <w:right w:val="none" w:sz="0" w:space="0" w:color="auto"/>
      </w:divBdr>
    </w:div>
    <w:div w:id="1062946136">
      <w:bodyDiv w:val="1"/>
      <w:marLeft w:val="0"/>
      <w:marRight w:val="0"/>
      <w:marTop w:val="0"/>
      <w:marBottom w:val="0"/>
      <w:divBdr>
        <w:top w:val="none" w:sz="0" w:space="0" w:color="auto"/>
        <w:left w:val="none" w:sz="0" w:space="0" w:color="auto"/>
        <w:bottom w:val="none" w:sz="0" w:space="0" w:color="auto"/>
        <w:right w:val="none" w:sz="0" w:space="0" w:color="auto"/>
      </w:divBdr>
    </w:div>
    <w:div w:id="1075392958">
      <w:bodyDiv w:val="1"/>
      <w:marLeft w:val="0"/>
      <w:marRight w:val="0"/>
      <w:marTop w:val="0"/>
      <w:marBottom w:val="0"/>
      <w:divBdr>
        <w:top w:val="none" w:sz="0" w:space="0" w:color="auto"/>
        <w:left w:val="none" w:sz="0" w:space="0" w:color="auto"/>
        <w:bottom w:val="none" w:sz="0" w:space="0" w:color="auto"/>
        <w:right w:val="none" w:sz="0" w:space="0" w:color="auto"/>
      </w:divBdr>
    </w:div>
    <w:div w:id="1093622572">
      <w:bodyDiv w:val="1"/>
      <w:marLeft w:val="0"/>
      <w:marRight w:val="0"/>
      <w:marTop w:val="0"/>
      <w:marBottom w:val="0"/>
      <w:divBdr>
        <w:top w:val="none" w:sz="0" w:space="0" w:color="auto"/>
        <w:left w:val="none" w:sz="0" w:space="0" w:color="auto"/>
        <w:bottom w:val="none" w:sz="0" w:space="0" w:color="auto"/>
        <w:right w:val="none" w:sz="0" w:space="0" w:color="auto"/>
      </w:divBdr>
    </w:div>
    <w:div w:id="1149782872">
      <w:bodyDiv w:val="1"/>
      <w:marLeft w:val="0"/>
      <w:marRight w:val="0"/>
      <w:marTop w:val="0"/>
      <w:marBottom w:val="0"/>
      <w:divBdr>
        <w:top w:val="none" w:sz="0" w:space="0" w:color="auto"/>
        <w:left w:val="none" w:sz="0" w:space="0" w:color="auto"/>
        <w:bottom w:val="none" w:sz="0" w:space="0" w:color="auto"/>
        <w:right w:val="none" w:sz="0" w:space="0" w:color="auto"/>
      </w:divBdr>
    </w:div>
    <w:div w:id="1509556945">
      <w:bodyDiv w:val="1"/>
      <w:marLeft w:val="0"/>
      <w:marRight w:val="0"/>
      <w:marTop w:val="0"/>
      <w:marBottom w:val="0"/>
      <w:divBdr>
        <w:top w:val="none" w:sz="0" w:space="0" w:color="auto"/>
        <w:left w:val="none" w:sz="0" w:space="0" w:color="auto"/>
        <w:bottom w:val="none" w:sz="0" w:space="0" w:color="auto"/>
        <w:right w:val="none" w:sz="0" w:space="0" w:color="auto"/>
      </w:divBdr>
    </w:div>
    <w:div w:id="2009749973">
      <w:bodyDiv w:val="1"/>
      <w:marLeft w:val="0"/>
      <w:marRight w:val="0"/>
      <w:marTop w:val="0"/>
      <w:marBottom w:val="0"/>
      <w:divBdr>
        <w:top w:val="none" w:sz="0" w:space="0" w:color="auto"/>
        <w:left w:val="none" w:sz="0" w:space="0" w:color="auto"/>
        <w:bottom w:val="none" w:sz="0" w:space="0" w:color="auto"/>
        <w:right w:val="none" w:sz="0" w:space="0" w:color="auto"/>
      </w:divBdr>
    </w:div>
    <w:div w:id="206243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Others</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DocumentTitle xmlns="ceb00776-aa5c-4fc8-b6fe-5f035152e4b6">ANNEX C</DocumentTitle>
  </documentManagement>
</p:properties>
</file>

<file path=customXml/itemProps1.xml><?xml version="1.0" encoding="utf-8"?>
<ds:datastoreItem xmlns:ds="http://schemas.openxmlformats.org/officeDocument/2006/customXml" ds:itemID="{562D54B2-2D1E-425F-8937-3B61868C1939}">
  <ds:schemaRefs>
    <ds:schemaRef ds:uri="http://schemas.openxmlformats.org/officeDocument/2006/bibliography"/>
  </ds:schemaRefs>
</ds:datastoreItem>
</file>

<file path=customXml/itemProps2.xml><?xml version="1.0" encoding="utf-8"?>
<ds:datastoreItem xmlns:ds="http://schemas.openxmlformats.org/officeDocument/2006/customXml" ds:itemID="{1E029065-C59E-4155-B990-51A630A0E954}"/>
</file>

<file path=customXml/itemProps3.xml><?xml version="1.0" encoding="utf-8"?>
<ds:datastoreItem xmlns:ds="http://schemas.openxmlformats.org/officeDocument/2006/customXml" ds:itemID="{24F7D286-DC1E-4024-82D5-8DFFB9DC016E}"/>
</file>

<file path=customXml/itemProps4.xml><?xml version="1.0" encoding="utf-8"?>
<ds:datastoreItem xmlns:ds="http://schemas.openxmlformats.org/officeDocument/2006/customXml" ds:itemID="{6D669C1F-1199-4052-81D0-4C2093DA8575}"/>
</file>

<file path=docProps/app.xml><?xml version="1.0" encoding="utf-8"?>
<Properties xmlns="http://schemas.openxmlformats.org/officeDocument/2006/extended-properties" xmlns:vt="http://schemas.openxmlformats.org/officeDocument/2006/docPropsVTypes">
  <Template>Normal.dotm</Template>
  <TotalTime>0</TotalTime>
  <Pages>5</Pages>
  <Words>3880</Words>
  <Characters>22121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EOLOGICA</Company>
  <LinksUpToDate>false</LinksUpToDate>
  <CharactersWithSpaces>25950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 Rijs</dc:creator>
  <cp:keywords/>
  <dc:description/>
  <cp:lastModifiedBy>Melissa Hernandez</cp:lastModifiedBy>
  <cp:revision>2</cp:revision>
  <dcterms:created xsi:type="dcterms:W3CDTF">2018-11-20T17:04:00Z</dcterms:created>
  <dcterms:modified xsi:type="dcterms:W3CDTF">2018-11-20T17:04:00Z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